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848"/>
        <w:gridCol w:w="4848"/>
      </w:tblGrid>
      <w:tr>
        <w:tc>
          <w:tcPr>
            <w:tcW w:type="dxa" w:w="2200"/>
            <w:vAlign w:val="center"/>
          </w:tcPr>
          <w:p>
            <w:pPr>
              <w:jc w:val="center"/>
            </w:pPr>
            <w:r>
              <w:drawing>
                <wp:inline xmlns:a="http://schemas.openxmlformats.org/drawingml/2006/main" xmlns:pic="http://schemas.openxmlformats.org/drawingml/2006/picture">
                  <wp:extent cx="1028700" cy="936278"/>
                  <wp:docPr id="1" name="Picture 1"/>
                  <wp:cNvGraphicFramePr>
                    <a:graphicFrameLocks noChangeAspect="1"/>
                  </wp:cNvGraphicFramePr>
                  <a:graphic>
                    <a:graphicData uri="http://schemas.openxmlformats.org/drawingml/2006/picture">
                      <pic:pic>
                        <pic:nvPicPr>
                          <pic:cNvPr id="0" name="logo.png"/>
                          <pic:cNvPicPr/>
                        </pic:nvPicPr>
                        <pic:blipFill>
                          <a:blip r:embed="rId13"/>
                          <a:stretch>
                            <a:fillRect/>
                          </a:stretch>
                        </pic:blipFill>
                        <pic:spPr>
                          <a:xfrm>
                            <a:off x="0" y="0"/>
                            <a:ext cx="1028700" cy="936278"/>
                          </a:xfrm>
                          <a:prstGeom prst="rect"/>
                        </pic:spPr>
                      </pic:pic>
                    </a:graphicData>
                  </a:graphic>
                </wp:inline>
              </w:drawing>
            </w:r>
          </w:p>
        </w:tc>
        <w:tc>
          <w:tcPr>
            <w:tcW w:type="dxa" w:w="7500"/>
            <w:vAlign w:val="center"/>
          </w:tcPr>
          <w:p>
            <w:pPr>
              <w:spacing w:before="480"/>
              <w:jc w:val="center"/>
            </w:pPr>
            <w:r>
              <w:rPr>
                <w:rFonts w:ascii="Times New Roman" w:hAnsi="Times New Roman" w:cs="Times New Roman"/>
                <w:b/>
                <w:i w:val="0"/>
                <w:color w:val="9C0E33"/>
                <w:sz w:val="22"/>
              </w:rPr>
              <w:t>THE CUEA JOURNAL OF HUMANITIES &amp; SOCIAL SCIENCES</w:t>
            </w:r>
          </w:p>
          <w:p>
            <w:pPr>
              <w:spacing w:before="320"/>
              <w:jc w:val="center"/>
            </w:pPr>
            <w:r>
              <w:rPr>
                <w:rFonts w:ascii="Times New Roman" w:hAnsi="Times New Roman" w:cs="Times New Roman"/>
                <w:b w:val="0"/>
                <w:i w:val="0"/>
                <w:color w:val="1A1A1A"/>
                <w:sz w:val="18"/>
              </w:rPr>
              <w:t>ISSN 3078-3143 (Online)</w:t>
            </w:r>
          </w:p>
        </w:tc>
      </w:tr>
    </w:tbl>
    <w:p>
      <w:pPr>
        <w:spacing w:before="280" w:after="0" w:lineRule="exact" w:line="20"/>
        <w:pBdr>
          <w:bottom w:val="single" w:sz="17" w:space="0" w:color="9C0E33"/>
        </w:pBdr>
      </w:pPr>
      <w:r>
        <w:rPr>
          <w:sz w:val="2"/>
        </w:rPr>
      </w:r>
    </w:p>
    <w:p>
      <w:pPr>
        <w:spacing w:before="160" w:after="280" w:lineRule="exact" w:line="20"/>
        <w:pBdr>
          <w:bottom w:val="single" w:sz="8" w:space="0" w:color="F49124"/>
        </w:pBdr>
      </w:pPr>
      <w:r>
        <w:rPr>
          <w:sz w:val="2"/>
        </w:rPr>
      </w:r>
    </w:p>
    <w:p>
      <w:pPr>
        <w:spacing w:after="280" w:line="276" w:lineRule="auto"/>
        <w:jc w:val="center"/>
      </w:pPr>
      <w:r>
        <w:rPr>
          <w:rFonts w:ascii="Times New Roman" w:hAnsi="Times New Roman" w:cs="Times New Roman"/>
          <w:b/>
          <w:i w:val="0"/>
          <w:color w:val="9C0E33"/>
          <w:sz w:val="26"/>
        </w:rPr>
        <w:t xml:space="preserve"> A Historical Analysis of the Origins, Diffusion, and Politicisation of Female Circumcision in East Africa, with Reference to the Maasai of Tanzania</w:t>
      </w:r>
    </w:p>
    <w:p>
      <w:pPr>
        <w:spacing w:after="0" w:line="252" w:lineRule="auto"/>
        <w:jc w:val="center"/>
      </w:pPr>
      <w:r>
        <w:rPr>
          <w:rFonts w:ascii="Times New Roman" w:hAnsi="Times New Roman" w:cs="Times New Roman"/>
          <w:b/>
          <w:i w:val="0"/>
          <w:color w:val="1A1A1A"/>
          <w:sz w:val="20"/>
        </w:rPr>
        <w:t>Mwangu Juliana Mutinda, Samuel Nyanchoga &amp; Francis Muchoki</w:t>
      </w:r>
    </w:p>
    <w:p>
      <w:pPr>
        <w:spacing w:after="40" w:line="252" w:lineRule="auto"/>
        <w:jc w:val="center"/>
      </w:pPr>
      <w:r>
        <w:rPr>
          <w:rFonts w:ascii="Times New Roman" w:hAnsi="Times New Roman" w:cs="Times New Roman"/>
          <w:b w:val="0"/>
          <w:i/>
          <w:color w:val="545454"/>
          <w:sz w:val="18"/>
        </w:rPr>
        <w:t>Department of History, The Catholic University of Eastern Africa, Nairobi, Kenya</w:t>
      </w:r>
    </w:p>
    <w:p>
      <w:pPr>
        <w:spacing w:after="280" w:line="252" w:lineRule="auto"/>
        <w:jc w:val="center"/>
      </w:pPr>
      <w:r>
        <w:rPr>
          <w:rFonts w:ascii="Times New Roman" w:hAnsi="Times New Roman" w:cs="Times New Roman"/>
          <w:b/>
          <w:i w:val="0"/>
          <w:color w:val="545454"/>
          <w:sz w:val="18"/>
        </w:rPr>
        <w:t xml:space="preserve">Email: </w:t>
      </w:r>
      <w:hyperlink r:id="rId14">
        <w:r>
          <w:rPr>
            <w:rFonts w:ascii="Times New Roman" w:hAnsi="Times New Roman" w:cs="Times New Roman"/>
            <w:color w:val="0563C1"/>
            <w:u w:val="single"/>
            <w:sz w:val="18"/>
            <w:szCs w:val="18"/>
          </w:rPr>
          <w:t xml:space="preserve">Mwangu2015@gmail.com</w:t>
        </w:r>
      </w:hyperlink>
    </w:p>
    <w:p>
      <w:pPr>
        <w:spacing w:before="40" w:after="240" w:lineRule="exact" w:line="20"/>
        <w:pBdr>
          <w:bottom w:val="single" w:sz="8" w:space="0" w:color="F49124"/>
        </w:pBdr>
      </w:pPr>
      <w:r>
        <w:rPr>
          <w:sz w:val="2"/>
        </w:rPr>
      </w:r>
    </w:p>
    <w:p>
      <w:pPr>
        <w:sectPr>
          <w:headerReference w:type="default" r:id="rId9"/>
          <w:headerReference w:type="first" r:id="rId10"/>
          <w:footerReference w:type="default" r:id="rId11"/>
          <w:footerReference w:type="first" r:id="rId12"/>
          <w:pgSz w:w="11904" w:h="16838"/>
          <w:pgMar w:top="1440" w:right="1104" w:bottom="1160" w:left="1104" w:header="720" w:footer="600" w:gutter="0"/>
          <w:cols w:space="720"/>
          <w:titlePg/>
          <w:docGrid w:linePitch="360"/>
        </w:sectPr>
      </w:pPr>
    </w:p>
    <w:p>
      <w:pPr>
        <w:spacing w:before="120" w:after="80"/>
        <w:ind w:left="120" w:right="120"/>
        <w:jc w:val="both"/>
        <w:shd w:val="clear" w:color="auto" w:fill="FAF6F2"/>
        <w:pBdr>
          <w:top w:val="single" w:sz="8" w:space="0" w:color="9C0E33"/>
          <w:left w:val="single" w:sz="8" w:space="0" w:color="9C0E33"/>
          <w:right w:val="single" w:sz="8" w:space="0" w:color="9C0E33"/>
        </w:pBdr>
      </w:pPr>
      <w:r>
        <w:rPr>
          <w:rFonts w:ascii="Times New Roman" w:hAnsi="Times New Roman" w:cs="Times New Roman"/>
          <w:b/>
          <w:i w:val="0"/>
          <w:color w:val="9C0E33"/>
          <w:sz w:val="20"/>
        </w:rPr>
        <w:t>Abstract</w:t>
      </w:r>
    </w:p>
    <w:p>
      <w:pPr>
        <w:spacing w:before="0" w:after="120"/>
        <w:ind w:left="120" w:right="120"/>
        <w:jc w:val="both"/>
        <w:shd w:val="clear" w:color="auto" w:fill="FAF6F2"/>
        <w:pBdr>
          <w:left w:val="single" w:sz="8" w:space="0" w:color="9C0E33"/>
          <w:right w:val="single" w:sz="8" w:space="0" w:color="9C0E33"/>
        </w:pBdr>
      </w:pPr>
      <w:r>
        <w:rPr>
          <w:rFonts w:ascii="Times New Roman" w:hAnsi="Times New Roman" w:cs="Times New Roman"/>
          <w:b w:val="0"/>
          <w:i/>
          <w:color w:val="1A1A1A"/>
          <w:sz w:val="18"/>
        </w:rPr>
        <w:t xml:space="preserve">Female circumcision is frequently discussed as a contemporary human-rights or public-health problem, yet its persistence in East Africa cannot be understood without an appreciation of its long history and of the paradoxical effects that external interventions have had upon it. </w:t>
      </w:r>
      <w:r>
        <w:rPr>
          <w:rFonts w:ascii="Times New Roman" w:hAnsi="Times New Roman" w:cs="Times New Roman"/>
          <w:b w:val="0"/>
          <w:i/>
          <w:color w:val="1A1A1A"/>
          <w:sz w:val="18"/>
        </w:rPr>
        <w:t>This article traces the historical evolution of female circumcision  with particular reference to the Maasai of northern Tanzania and the related Kikuyu controversy in colonial Kenya. Drawing on historical, ethnographic, and dissertation field data, the article situates the practice within debates over its diffusionist versus independent origins, interrogates the popular but scripturally unsupported association between the practice and Islam and Christianity, and demonstrates that in pre-colonial societies female initiation was frequently a domain of considerable female authority rather than simple patriarchal imposition. It then examines how colonial land alienation, taxation, restricted schooling, and missionary prohibition reframed female circumcision as a marker of anti-colonial identity, provoking movements such as Ngaitana in Meru and the Muthirigu dance among the Kikuyu. The article concludes that coercive, top-down interventions - whether colonial, missionary, or contemporary legal - have historically entrenched rather than eliminated the practice when they fail to engage the cultural and political meanings attached to it, a finding with direct implications for present-day elimination programming in Tanzania.</w:t>
      </w:r>
    </w:p>
    <w:p>
      <w:pPr>
        <w:spacing w:before="40" w:after="40"/>
        <w:ind w:left="120" w:right="120"/>
        <w:jc w:val="both"/>
        <w:shd w:val="clear" w:color="auto" w:fill="FAF6F2"/>
        <w:pBdr>
          <w:left w:val="single" w:sz="8" w:space="0" w:color="9C0E33"/>
          <w:right w:val="single" w:sz="8" w:space="0" w:color="9C0E33"/>
        </w:pBdr>
      </w:pPr>
      <w:r>
        <w:rPr>
          <w:rFonts w:ascii="Times New Roman" w:hAnsi="Times New Roman" w:cs="Times New Roman"/>
          <w:b/>
          <w:i w:val="0"/>
          <w:color w:val="9C0E33"/>
          <w:sz w:val="18"/>
        </w:rPr>
        <w:t>Keywords</w:t>
      </w:r>
    </w:p>
    <w:p>
      <w:pPr>
        <w:spacing w:before="0" w:after="120"/>
        <w:ind w:left="120" w:right="120"/>
        <w:jc w:val="both"/>
        <w:shd w:val="clear" w:color="auto" w:fill="FAF6F2"/>
        <w:pBdr>
          <w:left w:val="single" w:sz="8" w:space="0" w:color="9C0E33"/>
          <w:right w:val="single" w:sz="8" w:space="0" w:color="9C0E33"/>
          <w:bottom w:val="single" w:sz="8" w:space="0" w:color="9C0E33"/>
        </w:pBdr>
      </w:pPr>
      <w:r>
        <w:rPr>
          <w:rFonts w:ascii="Times New Roman" w:hAnsi="Times New Roman" w:cs="Times New Roman"/>
          <w:b w:val="0"/>
          <w:i/>
          <w:color w:val="1A1A1A"/>
          <w:sz w:val="18"/>
        </w:rPr>
        <w:t>Female circumcision; historiography; colonialism; missionary opposition; female circumcision controversy.</w:t>
      </w:r>
    </w:p>
    <w:p>
      <w:pPr>
        <w:keepNext/>
        <w:keepLines/>
        <w:spacing w:before="200" w:after="60"/>
      </w:pPr>
      <w:r>
        <w:rPr>
          <w:rFonts w:ascii="Times New Roman" w:hAnsi="Times New Roman" w:cs="Times New Roman"/>
          <w:b/>
          <w:i w:val="0"/>
          <w:color w:val="9C0E33"/>
          <w:sz w:val="21"/>
        </w:rPr>
        <w:t>INTRODUCTION</w:t>
      </w:r>
    </w:p>
    <w:p>
      <w:pPr>
        <w:spacing w:after="120" w:line="240" w:lineRule="auto"/>
        <w:jc w:val="both"/>
      </w:pPr>
      <w:r>
        <w:rPr>
          <w:rFonts w:ascii="Times New Roman" w:hAnsi="Times New Roman" w:cs="Times New Roman"/>
          <w:b w:val="0"/>
          <w:i w:val="0"/>
          <w:color w:val="1A1A1A"/>
          <w:sz w:val="20"/>
        </w:rPr>
        <w:t>The historical evolution of female circumcision - its contested origins, its external influences, the opposition it attracted from missionaries, and its particular manifestation among the Maasai - forms the subject of this article. The discussion traces this trajectory from antiquity through sixteenth-century travellers' accounts to early twentieth-century ethnographic mapping, which located the practice spatially across North-Eastern Africa (Booth, 2016; Hoffman, 2002; Kenyatta, 1938; Widstrand</w:t>
      </w:r>
      <w:r>
        <w:rPr>
          <w:rFonts w:ascii="Times New Roman" w:hAnsi="Times New Roman" w:cs="Times New Roman"/>
          <w:b w:val="0"/>
          <w:i w:val="0"/>
          <w:color w:val="1A1A1A"/>
          <w:sz w:val="20"/>
        </w:rPr>
        <w:t>, n.d.</w:t>
      </w:r>
      <w:r>
        <w:rPr>
          <w:rFonts w:ascii="Times New Roman" w:hAnsi="Times New Roman" w:cs="Times New Roman"/>
          <w:b w:val="0"/>
          <w:i w:val="0"/>
          <w:color w:val="1A1A1A"/>
          <w:sz w:val="20"/>
        </w:rPr>
        <w:t>, as cited in Kipuri, 2008). Beyond historical documentation, the article examines competing theories of the practice's origin - diffusionist versus independent development - and critically interrogates the widely assumed relationship between female circumcision and religion, noting that neither the Qur'an nor the Bible supports it (Gachiri, 2000; Kenyatta, 1938). It then shows how, in the Maasai case, land alienation, taxation, and restrictions on schooling inadvertently politicised female circumcision as a symbol of cultural resistance against colonial encroachment, while colonial anti-circumcision campaigns in Sudan and Kenya provoked defensive backlashes such as the Ngaitana movement, in which girls circumcised one another en masse (Hodgson, 2005; Thomas, 2000). Finally, the article turns to Maasai initiation ceremonies specifically, where female circumcision remains a treasured rite of passage transforming girls into 'complete' women, even as recent shifts toward cutting infants in secret reveal the practice's adaptation to legal prohibition (Kipuri, 2008; Leng'ete, 2019; Spencer, 1998). By weaving these historical, political, and cultural threads together, the article provides a foundation for understanding why female circumcision has endured, and why external interventions have often paradoxically reinforced rather than dislodged it (Booth, 2016; Boyle et al., 2020; Kenyatta, 1938).</w:t>
      </w:r>
    </w:p>
    <w:p>
      <w:pPr>
        <w:spacing w:after="120" w:line="240" w:lineRule="auto"/>
        <w:jc w:val="both"/>
      </w:pPr>
      <w:r>
        <w:rPr>
          <w:rFonts w:ascii="Times New Roman" w:hAnsi="Times New Roman" w:cs="Times New Roman"/>
          <w:b w:val="0"/>
          <w:i w:val="0"/>
          <w:color w:val="1A1A1A"/>
          <w:sz w:val="20"/>
        </w:rPr>
        <w:t>This article is drawn from a broader doctoral study of the socio-economic effects of female circumcision among the Maasai of Siha District, Kilimanjaro, Tanzania, between 1800 and 2024, and presents the historical strand of that study as a self-contained analysis. The article proceeds as follows: it first reviews the existing literature on the historical development of female circumcision and its bearing on socio-economic and cultural mobility; it then outlines the methodology used to generate the historical and field evidence discussed; it presents an extended discussion of findings organised chronologically from antiquity to the present; and it closes with conclusions relevant to historians and to policy audiences alike.</w:t>
      </w:r>
    </w:p>
    <w:p>
      <w:pPr>
        <w:keepNext/>
        <w:keepLines/>
        <w:spacing w:before="200" w:after="60"/>
      </w:pPr>
      <w:r>
        <w:rPr>
          <w:rFonts w:ascii="Times New Roman" w:hAnsi="Times New Roman" w:cs="Times New Roman"/>
          <w:b/>
          <w:i w:val="0"/>
          <w:color w:val="9C0E33"/>
          <w:sz w:val="21"/>
        </w:rPr>
        <w:t>2. LITERATURE REVIEW</w:t>
      </w:r>
    </w:p>
    <w:p>
      <w:pPr>
        <w:spacing w:after="120" w:line="240" w:lineRule="auto"/>
        <w:jc w:val="both"/>
      </w:pPr>
      <w:r>
        <w:rPr>
          <w:rFonts w:ascii="Times New Roman" w:hAnsi="Times New Roman" w:cs="Times New Roman"/>
          <w:b w:val="0"/>
          <w:i w:val="0"/>
          <w:color w:val="1A1A1A"/>
          <w:sz w:val="20"/>
        </w:rPr>
        <w:t xml:space="preserve">Female circumcision, also referred to as female genital mutilation (FGM), has a long and complex history globally and in Tanzania specifically. Evidence drawn from Egyptian mummies suggests the practice was performed routinely some five thousand years ago; in ancient Rome, metal rings were passed through the labia of enslaved women to prevent conception; and nineteenth-century Britain permitted surgical removal of the clitoris as an accepted treatment for epilepsy, sterilisation, and masturbation (Booth, 2016; Lightfoot-Klein, 1989). In Africa and the Middle East, the practice is thought to have taken root centuries ago, although in some regions its adoption is comparatively recent and closely bound up with intergroup status competition (Kipuri, 2008; Talle, 1994). </w:t>
      </w:r>
      <w:r>
        <w:rPr>
          <w:rFonts w:ascii="Times New Roman" w:hAnsi="Times New Roman" w:cs="Times New Roman"/>
          <w:b w:val="0"/>
          <w:i w:val="0"/>
          <w:color w:val="1A1A1A"/>
          <w:sz w:val="20"/>
        </w:rPr>
        <w:t>Gruenbaum's ethnographic account of Sudanese Zabarma girls in the 1970s, for example, records how girls from infibulating Arab-Sudanese groups mocked uncircumcised Zabarma peers as 'unclean,' provoking Zabarma girls to press their own mothers to be cut in turn - a vivid illustration of how the practice can spread laterally through peer status dynamics rather than solely through vertical transmission from one generation to the next (</w:t>
      </w:r>
      <w:r>
        <w:rPr>
          <w:rFonts w:ascii="Times New Roman" w:hAnsi="Times New Roman" w:cs="Times New Roman"/>
          <w:b w:val="0"/>
          <w:i w:val="0"/>
          <w:color w:val="1A1A1A"/>
          <w:sz w:val="20"/>
        </w:rPr>
        <w:t xml:space="preserve"> Gruenbaum 1996 cited in </w:t>
      </w:r>
      <w:r>
        <w:rPr>
          <w:rFonts w:ascii="Times New Roman" w:hAnsi="Times New Roman" w:cs="Times New Roman"/>
          <w:b w:val="0"/>
          <w:i w:val="0"/>
          <w:color w:val="1A1A1A"/>
          <w:sz w:val="20"/>
        </w:rPr>
        <w:t>Booth, 2016).</w:t>
      </w:r>
    </w:p>
    <w:p>
      <w:pPr>
        <w:spacing w:after="120" w:line="240" w:lineRule="auto"/>
        <w:jc w:val="both"/>
      </w:pPr>
      <w:r>
        <w:rPr>
          <w:rFonts w:ascii="Times New Roman" w:hAnsi="Times New Roman" w:cs="Times New Roman"/>
          <w:b w:val="0"/>
          <w:i w:val="0"/>
          <w:color w:val="1A1A1A"/>
          <w:sz w:val="20"/>
        </w:rPr>
        <w:t>The literature indicates that the practice has been deeply embedded among the Maasai and comparable ethnic groups for centuries, historically serving as a rite of passage marking the transition from girlhood to adulthood and conferring social acceptance and eligibility for marriage; the procedure was, in pre-colonial societies, closely bound up with notions of purity, moral integrity, and social cohesion, reinforcing prevailing gender roles rather than existing apart from them (Kipuri, 2008; Spencer, 1998). During the colonial era, European missionaries and colonial administrators attempted to suppress the practice, characterising it as barbaric and detrimental to women's health; however, this interference was frequently resisted, and anti-circumcision campaigns are documented as having fuelled nationalist sentiment by casting the practice as an essential component of ethnic heritage under external threat (Anderson, 2002; Kenyatta, 1938; Thomas, 2000). Post-independence governments in East Africa, including Tanzania, continued to struggle with balancing cultural preservation against the promotion of women's rights, and although legal frameworks were eventually introduced to criminalise the practice, enforcement has remained weak, allowing the custom to continue largely in secrecy (Boyle et al., 2020; Shabani &amp; Gemma, 2018).</w:t>
      </w:r>
    </w:p>
    <w:p>
      <w:pPr>
        <w:spacing w:after="120" w:line="240" w:lineRule="auto"/>
        <w:jc w:val="both"/>
      </w:pPr>
      <w:r>
        <w:rPr>
          <w:rFonts w:ascii="Times New Roman" w:hAnsi="Times New Roman" w:cs="Times New Roman"/>
          <w:b w:val="0"/>
          <w:i w:val="0"/>
          <w:color w:val="1A1A1A"/>
          <w:sz w:val="20"/>
        </w:rPr>
        <w:t>At the regional level, existing scholarship has examined how socio-economic and cultural mobility are conditioned by circumcision status, particularly in societies where marriage functions as the primary avenue to women's economic security; women who undergo the procedure are documented as being regarded as more marriageable, and therefore more likely to attain economic stability, which reinforces the practice's persistence (Njogu, 2018; Talle, 1994). This body of work, however, has focused predominantly on Kenya and other regional contexts and has not offered a localised historical analysis of the Tanzanian Maasai case specifically (Hodgson, 2011; Kipuri, 2008). National-level scholarship on Tanzania has examined the long-term health consequences of the practice and the weak enforcement of criminalising legislation, attributing this weakness to cultural resistance and to the economic dependencies of circumcisers and families upon the custom (Shabani &amp; Gemma, 2018), but this literature engages only marginally with the historical processes - colonial land and education policy in particular - that this article argues are central to explaining why the practice became politically entrenched rather than voluntarily abandoned (Hodgson, 2005; Spencer, 1998). This article addresses that gap by tracing the specifically historical and political drivers of the practice's persistence, from antiquity through colonial rule to the present, as a complement to the existing health- and rights-focused literature.</w:t>
      </w:r>
    </w:p>
    <w:p>
      <w:pPr>
        <w:keepNext/>
        <w:keepLines/>
        <w:spacing w:before="200" w:after="60"/>
      </w:pPr>
      <w:r>
        <w:rPr>
          <w:rFonts w:ascii="Times New Roman" w:hAnsi="Times New Roman" w:cs="Times New Roman"/>
          <w:b/>
          <w:i w:val="0"/>
          <w:color w:val="9C0E33"/>
          <w:sz w:val="21"/>
        </w:rPr>
        <w:t>3. METHODOLOGY</w:t>
      </w:r>
    </w:p>
    <w:p>
      <w:pPr>
        <w:spacing w:after="120" w:line="240" w:lineRule="auto"/>
        <w:jc w:val="both"/>
      </w:pPr>
      <w:r>
        <w:rPr>
          <w:rFonts w:ascii="Times New Roman" w:hAnsi="Times New Roman" w:cs="Times New Roman"/>
          <w:b w:val="0"/>
          <w:i w:val="0"/>
          <w:color w:val="1A1A1A"/>
          <w:sz w:val="20"/>
        </w:rPr>
        <w:t>The historical analysis presented in this article draws on the methodology of the parent doctoral study, which combined a phenomenological, qualitative research design with document and archival analysis. The phenomenological approach was considered appropriate for capturing the lived and inherited historical understanding of female circumcision as recounted by present-day custodians of Maasai oral tradition, while document analysis of colonial records, missionary accounts, historical ethnography, and secondary historiography provided the chronological backbone for the analysis presented here (Hodgson, 2005; Kenyatta, 1938; Thomas, 2000).</w:t>
      </w:r>
    </w:p>
    <w:p>
      <w:pPr>
        <w:spacing w:after="120" w:line="240" w:lineRule="auto"/>
        <w:jc w:val="both"/>
      </w:pPr>
      <w:r>
        <w:rPr>
          <w:rFonts w:ascii="Times New Roman" w:hAnsi="Times New Roman" w:cs="Times New Roman"/>
          <w:b w:val="0"/>
          <w:i w:val="0"/>
          <w:color w:val="1A1A1A"/>
          <w:sz w:val="20"/>
        </w:rPr>
        <w:t>Fieldwork was conducted in Siha District, Kilimanjaro Region, Tanzania, an area predominantly inhabited by the Maasai and selected for its high prevalence of the practice despite national and international elimination campaigns (Friedrich Naumann Foundation, 2022, 2024, 2025a, 2025b; Shabani &amp; Gemma, 2018). A purposively selected sample of approximately fifty participants was drawn upon across the wider study, comprising circumcised and uncircumcised women of varying ages, community elders (male and female), traditional cutters (ngariba), morans, local government and ward officials, and NGO and advocacy workers; snowball sampling supplemented purposive selection to reach participants reluctant to discuss the practice openly (Hodgson, 2011). For the historical strand of the research reported in this article specifically, oral-historical interviews with elders and traditional leaders were triangulated against document analysis of colonial administrative records, missionary correspondence, and published historiography, including material from the World Health Organization, UNICEF, and UNFPA archives, in order to corroborate dates, sequences, and the political context of colonial-era interventions (Anderson, 2002; Thomas, 2000).</w:t>
      </w:r>
    </w:p>
    <w:p>
      <w:pPr>
        <w:spacing w:after="120" w:line="240" w:lineRule="auto"/>
        <w:jc w:val="both"/>
      </w:pPr>
      <w:r>
        <w:rPr>
          <w:rFonts w:ascii="Times New Roman" w:hAnsi="Times New Roman" w:cs="Times New Roman"/>
          <w:b w:val="0"/>
          <w:i w:val="0"/>
          <w:color w:val="1A1A1A"/>
          <w:sz w:val="20"/>
        </w:rPr>
        <w:t>Semi-structured interviews and focus group discussions - the latter comprising six to ten participants each - were conducted in Swahili or Maa according to participant preference, audio-recorded with consent, transcribed, and thematically coded using NVivo software (Hodgson, 2011). Instruments were piloted in a comparable Maasai community prior to main data collection, and triangulation across interviews, focus groups, and documentary sources was used to strengthen the validity of findings; an inter-coder reliability check, in which a second researcher reviewed a subset of transcripts, supported consistency of interpretation (Hodgson, 2005). Ethical clearance was obtained from the Catholic University of Eastern Africa Postgraduate Research Office and a research permit secured from Tanzania's National Commission for Science, Technology, and Innovation; informed consent, and assent from minors, was obtained from all participants, with pseudonyms used throughout to preserve anonymity.</w:t>
      </w:r>
    </w:p>
    <w:p>
      <w:pPr>
        <w:keepNext/>
        <w:keepLines/>
        <w:spacing w:before="200" w:after="60"/>
      </w:pPr>
      <w:r>
        <w:rPr>
          <w:rFonts w:ascii="Times New Roman" w:hAnsi="Times New Roman" w:cs="Times New Roman"/>
          <w:b/>
          <w:i w:val="0"/>
          <w:color w:val="9C0E33"/>
          <w:sz w:val="21"/>
        </w:rPr>
        <w:t>4. DISCUSSION OF FINDINGS</w:t>
      </w:r>
    </w:p>
    <w:p>
      <w:pPr>
        <w:keepNext/>
        <w:keepLines/>
        <w:spacing w:before="160" w:after="60"/>
      </w:pPr>
      <w:r>
        <w:rPr>
          <w:rFonts w:ascii="Times New Roman" w:hAnsi="Times New Roman" w:cs="Times New Roman"/>
          <w:b/>
          <w:i w:val="0"/>
          <w:color w:val="9C0E33"/>
          <w:sz w:val="20"/>
        </w:rPr>
        <w:t>4.1 Origins and Early Historical Documentation</w:t>
      </w:r>
    </w:p>
    <w:p>
      <w:pPr>
        <w:spacing w:after="120" w:line="240" w:lineRule="auto"/>
        <w:jc w:val="both"/>
      </w:pPr>
      <w:r>
        <w:rPr>
          <w:rFonts w:ascii="Times New Roman" w:hAnsi="Times New Roman" w:cs="Times New Roman"/>
          <w:b w:val="0"/>
          <w:i w:val="0"/>
          <w:color w:val="1A1A1A"/>
          <w:sz w:val="20"/>
        </w:rPr>
        <w:t>The exact origin and motive behind the practice of infibulation remain largely undocumented despite its very ancient roots. Infibulation appears to have been practised in Ancient Egypt and among nomadic tribes around the Red Sea as a measure to control female sexuality, with some anthropologists tracing the practice to fifth-century BC Egypt, where it was known as 'Pharaonic circumcision' (Booth, 2016; Lightfoot-Klein, 1989). The earliest known description is attributed to Herodotus (484-424 BCE), who reported that excision was carried out by Phoenicians, Hittites, Ethiopians, and Egyptians. A Greek papyrus of the second century BC preserved in the British Museum records payment for the dowry and 'the usual ceremony of circumcision' of a girl in Alexandria, while later Greek writers - Strabo, writing after his visit to Egypt in 25 BC, and Philo of Alexandria in the following decades - independently corroborate the practice among Egyptian populations (Booth, 2016; Gachiri, 2000).</w:t>
      </w:r>
    </w:p>
    <w:p>
      <w:pPr>
        <w:spacing w:after="120" w:line="240" w:lineRule="auto"/>
        <w:jc w:val="both"/>
      </w:pPr>
      <w:r>
        <w:rPr>
          <w:rFonts w:ascii="Times New Roman" w:hAnsi="Times New Roman" w:cs="Times New Roman"/>
          <w:b w:val="0"/>
          <w:i w:val="0"/>
          <w:color w:val="1A1A1A"/>
          <w:sz w:val="20"/>
        </w:rPr>
        <w:t>The first detailed European description came only in the sixteenth century, when the Venetian historian Pietro Bembo, drawing on travellers' accounts of the Red Sea, wrote that 'the private parts of the girls are sewn together immediately after their birth' because an assured virginity at marriage was held in such high esteem (Booth, 2016). Early modern reports from the 1600s describe the practice in Somalia as a means of extracting higher prices for female slaves, and in eighteenth-century Egypt as a means of preventing pregnancy among enslaved women (Lightfoot-Klein, 1989). At the turn of the twentieth century, the physician and ethnologist Seligman mapped the locations of documented infibulation around the Red Sea, a project later extended by Widstrand, whose historical distribution map shows the practice clustering in North-Eastern Africa and extending along the Nile valley and caravan routes to the west (Booth, 2016; Kipuri, 2008).</w:t>
      </w:r>
    </w:p>
    <w:p>
      <w:pPr>
        <w:keepNext/>
        <w:keepLines/>
        <w:spacing w:before="160" w:after="60"/>
      </w:pPr>
      <w:r>
        <w:rPr>
          <w:rFonts w:ascii="Times New Roman" w:hAnsi="Times New Roman" w:cs="Times New Roman"/>
          <w:b/>
          <w:i w:val="0"/>
          <w:color w:val="9C0E33"/>
          <w:sz w:val="20"/>
        </w:rPr>
        <w:t>4.2 Theories of Origin and the Question of Religion</w:t>
      </w:r>
    </w:p>
    <w:p>
      <w:pPr>
        <w:spacing w:after="120" w:line="240" w:lineRule="auto"/>
        <w:jc w:val="both"/>
      </w:pPr>
      <w:r>
        <w:rPr>
          <w:rFonts w:ascii="Times New Roman" w:hAnsi="Times New Roman" w:cs="Times New Roman"/>
          <w:b w:val="0"/>
          <w:i w:val="0"/>
          <w:color w:val="1A1A1A"/>
          <w:sz w:val="20"/>
        </w:rPr>
        <w:t>Several competing theories exist regarding the origin of female circumcision. One holds that the custom began in the Middle East and diffused into Africa through cultural contact along trade and migration routes; another maintains that it developed independently in different societies at different times, since tracing direct connections between similar practices in widely dispersed communities has proved historiographically impossible (Booth, 2016; Gachiri, 2000). Other explanations link the practice to protection of young female herders from rape, to Stone Age sacrificial customs, or to early attempts at population control (Lightfoot-Klein, 1989). No single theory has achieved consensus, and the genesis of the custom remains, in the strict historical sense, unresolved.</w:t>
      </w:r>
    </w:p>
    <w:p>
      <w:pPr>
        <w:spacing w:after="120" w:line="240" w:lineRule="auto"/>
        <w:jc w:val="both"/>
      </w:pPr>
      <w:r>
        <w:rPr>
          <w:rFonts w:ascii="Times New Roman" w:hAnsi="Times New Roman" w:cs="Times New Roman"/>
          <w:b w:val="0"/>
          <w:i w:val="0"/>
          <w:color w:val="1A1A1A"/>
          <w:sz w:val="20"/>
        </w:rPr>
        <w:t>The relationship between female circumcision and religion is similarly contested. Although the practice is popularly associated with Islamic societies, the historical record shows it has also occurred among Christians, Jews, followers of traditional African religions such as the Maasai, and, at various points, in Western societies including the United States, England, and France, where it was justified on ostensibly medical grounds (Booth, 2016; Gachiri, 2000; Kenyatta, 1938). Crucially, neither the Qur'an nor the Bible contains any verse mandating female circumcision; the association is rooted in popular belief and vernacular religious terminology rather than in scriptural command (Gachiri, 2000; Kenyatta, 1938). If the Qur'an genuinely commanded the practice, historians would struggle to account for the many non-practising Muslim societies, just as the presence of the custom among some Christian and traditionalist communities cannot be explained by reference to biblical text.</w:t>
      </w:r>
    </w:p>
    <w:p>
      <w:pPr>
        <w:keepNext/>
        <w:keepLines/>
        <w:spacing w:before="160" w:after="60"/>
      </w:pPr>
      <w:r>
        <w:rPr>
          <w:rFonts w:ascii="Times New Roman" w:hAnsi="Times New Roman" w:cs="Times New Roman"/>
          <w:b/>
          <w:i w:val="0"/>
          <w:color w:val="9C0E33"/>
          <w:sz w:val="20"/>
        </w:rPr>
        <w:t>4.3 Pre-Colonial Female Initiation and Women's Authority</w:t>
      </w:r>
    </w:p>
    <w:p>
      <w:pPr>
        <w:spacing w:after="120" w:line="240" w:lineRule="auto"/>
        <w:jc w:val="both"/>
      </w:pPr>
      <w:r>
        <w:rPr>
          <w:rFonts w:ascii="Times New Roman" w:hAnsi="Times New Roman" w:cs="Times New Roman"/>
          <w:b w:val="0"/>
          <w:i w:val="0"/>
          <w:color w:val="1A1A1A"/>
          <w:sz w:val="20"/>
        </w:rPr>
        <w:t>A recurring theme in the historiography is that, in many pre-colonial African societies, female initiation - which in some communities included circumcision - was not simply an act of male oppression but a sphere of life in which women held considerable authority (Gachiri, 2000; Kenyatta, 1938; Kipuri, 2008</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Nengarivo</w:t>
      </w:r>
      <w:r>
        <w:rPr>
          <w:rFonts w:ascii="Times New Roman" w:hAnsi="Times New Roman" w:cs="Times New Roman"/>
          <w:b w:val="0"/>
          <w:i w:val="0"/>
          <w:color w:val="1A1A1A"/>
          <w:sz w:val="20"/>
        </w:rPr>
        <w:t>, O.I.2026</w:t>
      </w:r>
      <w:r>
        <w:rPr>
          <w:rFonts w:ascii="Times New Roman" w:hAnsi="Times New Roman" w:cs="Times New Roman"/>
          <w:b w:val="0"/>
          <w:i w:val="0"/>
          <w:color w:val="1A1A1A"/>
          <w:sz w:val="20"/>
        </w:rPr>
        <w:t>). Initiation ceremonies marked months of seclusion in which girls were instructed by older women in adult female sexuality, social roles, and cultural expectation, and the process was organised, conducted, and controlled almost entirely by women (Gachiri, 2000; Gichuiri, 2008; Hodgson, 2005</w:t>
      </w:r>
      <w:r>
        <w:rPr>
          <w:rFonts w:ascii="Times New Roman" w:hAnsi="Times New Roman" w:cs="Times New Roman"/>
          <w:b w:val="0"/>
          <w:i w:val="0"/>
          <w:color w:val="1A1A1A"/>
          <w:sz w:val="20"/>
        </w:rPr>
        <w:t>;</w:t>
      </w:r>
      <w:r>
        <w:rPr>
          <w:rFonts w:ascii="Times New Roman" w:hAnsi="Times New Roman" w:cs="Times New Roman"/>
          <w:b w:val="0"/>
          <w:i w:val="0"/>
          <w:color w:val="1A1A1A"/>
          <w:sz w:val="20"/>
        </w:rPr>
        <w:t>Naiseku</w:t>
      </w:r>
      <w:r>
        <w:rPr>
          <w:rFonts w:ascii="Times New Roman" w:hAnsi="Times New Roman" w:cs="Times New Roman"/>
          <w:b w:val="0"/>
          <w:i w:val="0"/>
          <w:color w:val="1A1A1A"/>
          <w:sz w:val="20"/>
        </w:rPr>
        <w:t>, O.I.2026</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 Among the Agikuyu of Kenya, female initiation (irua) was intrinsically linked to the age-set system (riika) that structured social and political life for both sexes, and was administered by the custodians of this knowledge, the female elders, who thereby exercised significant social power (Kenyatta, 1938; Kershaw, 1997; Mills, n.d.).</w:t>
      </w:r>
    </w:p>
    <w:p>
      <w:pPr>
        <w:spacing w:after="120" w:line="240" w:lineRule="auto"/>
        <w:jc w:val="both"/>
      </w:pPr>
      <w:r>
        <w:rPr>
          <w:rFonts w:ascii="Times New Roman" w:hAnsi="Times New Roman" w:cs="Times New Roman"/>
          <w:b w:val="0"/>
          <w:i w:val="0"/>
          <w:color w:val="1A1A1A"/>
          <w:sz w:val="20"/>
        </w:rPr>
        <w:t>For the Maasai, a pastoral people organised around a highly structured age-based system, female circumcision, known as Emuratare, has served an analogous function (Hoffman, 2002; Spencer, 1998; UNESCO, 2018). While scholarly and popular attention has tended to focus on the elaborate multi-stage ceremonies for male warriors, female initiation has been an equally essential institution defining the transition to womanhood, and the procedure itself is performed by female elders who possess specialised knowledge and are recognised experts (Hodgson, 2005; Kipuri, 2008; Spencer, 1998</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Metili</w:t>
      </w:r>
      <w:r>
        <w:rPr>
          <w:rFonts w:ascii="Times New Roman" w:hAnsi="Times New Roman" w:cs="Times New Roman"/>
          <w:b w:val="0"/>
          <w:i w:val="0"/>
          <w:color w:val="1A1A1A"/>
          <w:sz w:val="20"/>
        </w:rPr>
        <w:t>,O.I. 2026</w:t>
      </w:r>
      <w:r>
        <w:rPr>
          <w:rFonts w:ascii="Times New Roman" w:hAnsi="Times New Roman" w:cs="Times New Roman"/>
          <w:b w:val="0"/>
          <w:i w:val="0"/>
          <w:color w:val="1A1A1A"/>
          <w:sz w:val="20"/>
        </w:rPr>
        <w:t>). For Maasai women, circumcision has historically been the non-negotiable gateway to adult status: an uncircumcised girl remains ndito (child) and is conceptually excluded from full womanhood (yeyo), regardless of chronological age (Hodgson, 2011; Spencer, 1998). This cultural logic means that, for many Maasai women, circumcision has functioned historically not as imposed oppression but as a source of identity, belonging, and honour - a point that later colonial and missionary observers frequently failed to grasp (Hodgson, 2005; Kipuri, 2008).</w:t>
      </w:r>
    </w:p>
    <w:p>
      <w:pPr>
        <w:spacing w:after="120" w:line="240" w:lineRule="auto"/>
        <w:jc w:val="both"/>
      </w:pPr>
      <w:r>
        <w:rPr>
          <w:rFonts w:ascii="Times New Roman" w:hAnsi="Times New Roman" w:cs="Times New Roman"/>
          <w:b w:val="0"/>
          <w:i w:val="0"/>
          <w:color w:val="1A1A1A"/>
          <w:sz w:val="20"/>
        </w:rPr>
        <w:t>The clearest historical evidence of women's agency, however, lies not in compliance but in resistance. When colonial powers and missionaries in the 1920s condemned female circumcision and moved to outlaw it, many African women did not passively accept the judgment (Anderson, 2002; Kenyatta, 1938; Thomas, 2000). In colonial Kenya, the debate over the practice became a major political crisis, and for many Agikuyu women the colonial ban was experienced not as liberation but as an attack on their cultural authority (Adima, 2020; Murray, 1974; Sandgren, 1982</w:t>
      </w:r>
      <w:r>
        <w:rPr>
          <w:rFonts w:ascii="Times New Roman" w:hAnsi="Times New Roman" w:cs="Times New Roman"/>
          <w:b w:val="0"/>
          <w:i w:val="0"/>
          <w:color w:val="1A1A1A"/>
          <w:sz w:val="20"/>
        </w:rPr>
        <w:t>;</w:t>
      </w:r>
      <w:r>
        <w:rPr>
          <w:rFonts w:ascii="Times New Roman" w:hAnsi="Times New Roman" w:cs="Times New Roman"/>
          <w:b w:val="0"/>
          <w:i w:val="0"/>
          <w:color w:val="1A1A1A"/>
          <w:sz w:val="20"/>
        </w:rPr>
        <w:t>Nashipa</w:t>
      </w:r>
      <w:r>
        <w:rPr>
          <w:rFonts w:ascii="Times New Roman" w:hAnsi="Times New Roman" w:cs="Times New Roman"/>
          <w:b w:val="0"/>
          <w:i w:val="0"/>
          <w:color w:val="1A1A1A"/>
          <w:sz w:val="20"/>
        </w:rPr>
        <w:t>, O.I. 2026</w:t>
      </w:r>
      <w:r>
        <w:rPr>
          <w:rFonts w:ascii="Times New Roman" w:hAnsi="Times New Roman" w:cs="Times New Roman"/>
          <w:b w:val="0"/>
          <w:i w:val="0"/>
          <w:color w:val="1A1A1A"/>
          <w:sz w:val="20"/>
        </w:rPr>
        <w:t xml:space="preserve"> </w:t>
      </w:r>
      <w:r>
        <w:rPr>
          <w:rFonts w:ascii="Times New Roman" w:hAnsi="Times New Roman" w:cs="Times New Roman"/>
          <w:b w:val="0"/>
          <w:i w:val="0"/>
          <w:color w:val="1A1A1A"/>
          <w:sz w:val="20"/>
        </w:rPr>
        <w:t>). Their defiance found expression in the Muthirigu, a provocative song and dance performed by Kikuyu women and young men that openly mocked missionaries, the colonial church, and African converts who had abandoned circumcision (Kenyatta, 1938; Kershaw, 1997). The colonial government's response - raiding villages, arresting performers, and banning the dance - intensified rather than resolved the crisis, transforming the defence of female circumcision into a pillar of the emerging anti-colonial movement, in which women were, by the historical record, on the front lines rather than passive bystanders (Adima, 2020; Anderson, 2002; Murray, 1974).</w:t>
      </w:r>
    </w:p>
    <w:p>
      <w:pPr>
        <w:keepNext/>
        <w:keepLines/>
        <w:spacing w:before="160" w:after="60"/>
      </w:pPr>
      <w:r>
        <w:rPr>
          <w:rFonts w:ascii="Times New Roman" w:hAnsi="Times New Roman" w:cs="Times New Roman"/>
          <w:b/>
          <w:i w:val="0"/>
          <w:color w:val="9C0E33"/>
          <w:sz w:val="20"/>
        </w:rPr>
        <w:t>4.4 Colonialism, Development, and the Politicisation of Maasai Culture</w:t>
      </w:r>
    </w:p>
    <w:p>
      <w:pPr>
        <w:spacing w:after="120" w:line="240" w:lineRule="auto"/>
        <w:jc w:val="both"/>
      </w:pPr>
      <w:r>
        <w:rPr>
          <w:rFonts w:ascii="Times New Roman" w:hAnsi="Times New Roman" w:cs="Times New Roman"/>
          <w:b w:val="0"/>
          <w:i w:val="0"/>
          <w:color w:val="1A1A1A"/>
          <w:sz w:val="20"/>
        </w:rPr>
        <w:t>In East Africa, colonial and post-colonial development policy, far from being neutral, actively undermined Maasai economic and social structures. Land alienation, taxation, and restrictions on schooling were framed as 'development,' yet they eroded Maasai livelihoods and autonomy; within this context, attacks on customs such as female circumcision were interpreted as part of a broader assault on Maasai identity, which had the paradoxical effect of reinforcing the practice (Hodgson, 2005, 2011; Spencer, 1998). Historians have argued that developmentalism became a state ideology in East Africa from the 1940s, promoting large-scale 'scientific' agricultural and irrigation schemes together with the monetisation of pastoral economies, including mandatory cattle sales (Hodgson, 2011; Spencer, 1998). The 1951 Maasai Development Plan, for example, alienated land without the consent of Maasai elders and raised taxation in the name of development; when such schemes failed, the failure was widely - and self-servingly - attributed to Maasai 'cultural conservatism,' a charge that was then used to justify reassigning pastoralist land to settler or cultivator use (Hodgson, 2005, 2011). A parallel dynamic operated in schooling policy: colonial administrators deliberately limited the number of schools available to the Maasai, ostensibly to protect them from 'corrupting influences,' and subsequently blamed Maasai parents for resisting the very education the administration had restricted (Hodgson, 2005, 2011).</w:t>
      </w:r>
    </w:p>
    <w:p>
      <w:pPr>
        <w:spacing w:after="120" w:line="240" w:lineRule="auto"/>
        <w:jc w:val="both"/>
      </w:pPr>
      <w:r>
        <w:rPr>
          <w:rFonts w:ascii="Times New Roman" w:hAnsi="Times New Roman" w:cs="Times New Roman"/>
          <w:b w:val="0"/>
          <w:i w:val="0"/>
          <w:color w:val="1A1A1A"/>
          <w:sz w:val="20"/>
        </w:rPr>
        <w:t>It was within this politicised context that colonial anti-female-circumcision campaigns unfolded elsewhere in East Africa, most thoroughly documented in Sudan and in the Meru region of Kenya (Thomas, 2000). In 1945, when British colonial authorities in Sudan announced plans to outlaw female infibulation, parents rushed to have their daughters cut before the ban took effect, producing what one historian has termed an unprecedented surge in the practice; when a case was eventually brought to trial, the ensuing anticolonial demonstrations were sufficiently violent that officials abandoned enforcement (Booth, 2016; Thomas, 2000). In Meru, a 1956 ban on female excision provoked the Ngaitana ('I will circumcise myself') movement, in which pubescent and pre-pubescent girls circumcised one another en masse; more than two thousand four hundred girls and their parents were subsequently fined, imprisoned, or sentenced to hard labour, yet the law was abandoned within a few years after participants argued convincingly that the ban had encouraged rather than deterred the practice (Thomas, 2000). As Kenya's independence movement gathered pace, female circumcision became further politicised as a marker of loyalty to the Mau Mau cause (Muraya, 2015; Kershaw, 1997).</w:t>
      </w:r>
    </w:p>
    <w:p>
      <w:pPr>
        <w:spacing w:after="120" w:line="240" w:lineRule="auto"/>
        <w:jc w:val="both"/>
      </w:pPr>
      <w:r>
        <w:rPr>
          <w:rFonts w:ascii="Times New Roman" w:hAnsi="Times New Roman" w:cs="Times New Roman"/>
          <w:b w:val="0"/>
          <w:i w:val="0"/>
          <w:color w:val="1A1A1A"/>
          <w:sz w:val="20"/>
        </w:rPr>
        <w:t>Structural gender inequality among the Maasai of northern Tanzania has similarly been understood as the outcome of nineteenth- and twentieth-century historical processes, in which colonial indirect rule consolidated and increased men's authority, dividing the formerly complementary responsibilities of Maasai men and women into hierarchical, spatially distinct gendered domains (Hodgson, 2005, 2011). Both colonial and post-colonial policies of monetisation and commoditisation further facilitated the disenfranchisement of women from rights to land and livestock; a ten-year USAID-sponsored development project in northern Tanzania during the 1970s, for instance, deliberately targeted men as livestock 'owners and experts,' materially and conceptually devaluing Maasai women both as pastoralists and as women (Hodgson, 2011). Complementary research on Maasai communities in Kenya shows that the same transition from a barter to a market economy since the early 1900s progressively stripped women of the customary control they had once exercised over livestock attached to their houses, thereby diminishing their economic, political, and social influence relative to men (Kipuri, 2008; Talle, 1994). Together, these findings demonstrate that state-building and development processes - not an unchanging, timeless 'tradition' - substantially account for the gender inequalities observed in Maasai communities today, and that this same historical process politicised female circumcision as an emblem of cultural continuity under threat (Hodgson, 2005, 2011).</w:t>
      </w:r>
    </w:p>
    <w:p>
      <w:pPr>
        <w:keepNext/>
        <w:keepLines/>
        <w:spacing w:before="160" w:after="60"/>
      </w:pPr>
      <w:r>
        <w:rPr>
          <w:rFonts w:ascii="Times New Roman" w:hAnsi="Times New Roman" w:cs="Times New Roman"/>
          <w:b/>
          <w:i w:val="0"/>
          <w:color w:val="9C0E33"/>
          <w:sz w:val="20"/>
        </w:rPr>
        <w:t>4.5 Missionary Opposition and the Kikuyu Female Circumcision Controversy</w:t>
      </w:r>
    </w:p>
    <w:p>
      <w:pPr>
        <w:spacing w:after="120" w:line="240" w:lineRule="auto"/>
        <w:jc w:val="both"/>
      </w:pPr>
      <w:r>
        <w:rPr>
          <w:rFonts w:ascii="Times New Roman" w:hAnsi="Times New Roman" w:cs="Times New Roman"/>
          <w:b w:val="0"/>
          <w:i w:val="0"/>
          <w:color w:val="1A1A1A"/>
          <w:sz w:val="20"/>
        </w:rPr>
        <w:t>Missionary opposition to female circumcision in the nineteenth and twentieth centuries provoked comparable backlash across the region. In Kenya, bans on excision precipitated mass self-circumcision movements among girls; in Sudan, attempts to outlaw infibulation triggered violent demonstrations (Anderson, 2002; Booth, 2016; Thomas, 2000). These episodes reveal how external interventions, framed by their proponents as moral or civilising missions, could entrench rather than diminish the very practice they targeted - a cautionary historical lesson for contemporary elimination campaigns that fail to engage the deep-seated cultural and political meanings attached to the custom (Boyle et al., 2020; Kenyatta, 1938).</w:t>
      </w:r>
    </w:p>
    <w:p>
      <w:pPr>
        <w:spacing w:after="120" w:line="240" w:lineRule="auto"/>
        <w:jc w:val="both"/>
      </w:pPr>
      <w:r>
        <w:rPr>
          <w:rFonts w:ascii="Times New Roman" w:hAnsi="Times New Roman" w:cs="Times New Roman"/>
          <w:b w:val="0"/>
          <w:i w:val="0"/>
          <w:color w:val="1A1A1A"/>
          <w:sz w:val="20"/>
        </w:rPr>
        <w:t>The Kenyan case is illustrative. In the late 1920s, Protestant missionaries mounted an intensive campaign to prohibit female circumcision among their congregations, engaging London-based parliamentarians and women's-rights organisations to argue before the House of Commons that the tradition should be banned (Anderson, 2002; Murray, 1974). The results were not as its proponents had hoped: requirements to renounce the practice led large numbers of Kikuyu to leave mission churches and establish independent churches and schools of their own, a development that historians identify as a turning point in Kenya's colonial history and a direct contributor to the rise of Gikuyu cultural nationalism (Kenyatta, 1938; Sandgren, 1982). In Facing Mount Kenya (1938), Jomo Kenyatta - Kenya's future first president - described female circumcision as a centuries-old custom perpetuating collectivism and national solidarity, arguing that the Kikuyu viewed missionaries as 'religious fanatics' bent on disintegrating their social order. The controversy, which peaked between 1929 and 1932 when the Church of Scotland Mission demanded that baptised members swear an oath opposing the practice, culminated in the murder of the American missionary Hulda Stumpf near Kijabe in January 1930, an event that became, in the words of one historian, 'the event at the very centre of the crisis' (Anderson, 2002, p. 209). Notably, the campaign against the practice was led not by African Christian women articulating an indigenous theological response, but chiefly by white women missionaries such as Marion Stevenson, who from 1929 began referring to the procedure as 'sexual mutilation of women' rather than 'female circumcision' - a linguistic shift with its own political implications (Adima, 2020). African women's own theological and cultural reasoning during this controversy remains comparatively silent in the archival record, not because women lacked views but because colonial and missionary discourse structurally marginalised their voices, a silence historians have only recently begun to address (Adima, 2020).</w:t>
      </w:r>
    </w:p>
    <w:p>
      <w:pPr>
        <w:spacing w:after="120" w:line="240" w:lineRule="auto"/>
        <w:jc w:val="both"/>
      </w:pPr>
      <w:r>
        <w:rPr>
          <w:rFonts w:ascii="Times New Roman" w:hAnsi="Times New Roman" w:cs="Times New Roman"/>
          <w:b w:val="0"/>
          <w:i w:val="0"/>
          <w:color w:val="1A1A1A"/>
          <w:sz w:val="20"/>
        </w:rPr>
        <w:t>For the Maasai during the same period, the evidence of Christian women's theological engagement is more limited, though scholars note that the Protestant church's uncompromising rejection of Maasai culture as 'backward' produced contradictory effects: among some converts the cut was abandoned alongside other practices the church deemed impure, while among non-Christian Maasai the same rejection appears to have reinforced female circumcision defensively, as a marker of authentic identity against the threat of cultural erosion (Hodgson, 2005). The colonial missionary approach was, in general, prohibitionist rather than constructive: missionaries banned the practice and demanded loyalty oaths, but did not systematically develop culturally sensitive substitutes that preserved the educational and social dimensions of initiation while removing the cutting itself - the very absence that Kenyatta identified as fatal to the missionary project, since removing the surgical element without replacing the institution's educational and moral substance was, in his analysis, tantamount to abolishing the institution altogether (Kenyatta, 1938; Gichuiri, 2008). Constructive alternative rites of passage of the kind now documented among the Maasai and the Agikuyu are, by contrast, a predominantly post-colonial and contemporary phenomenon (Friedrich Naumann Foundation, 2022, 2024; Gichuiri, 2008; Leng'ete, 2019).</w:t>
      </w:r>
    </w:p>
    <w:p>
      <w:pPr>
        <w:keepNext/>
        <w:keepLines/>
        <w:spacing w:before="160" w:after="60"/>
      </w:pPr>
      <w:r>
        <w:rPr>
          <w:rFonts w:ascii="Times New Roman" w:hAnsi="Times New Roman" w:cs="Times New Roman"/>
          <w:b/>
          <w:i w:val="0"/>
          <w:color w:val="9C0E33"/>
          <w:sz w:val="20"/>
        </w:rPr>
        <w:t>4.6 Post-Colonial Legal Reform and Contemporary Adaptation among the Maasai</w:t>
      </w:r>
    </w:p>
    <w:p>
      <w:pPr>
        <w:spacing w:after="120" w:line="240" w:lineRule="auto"/>
        <w:jc w:val="both"/>
      </w:pPr>
      <w:r>
        <w:rPr>
          <w:rFonts w:ascii="Times New Roman" w:hAnsi="Times New Roman" w:cs="Times New Roman"/>
          <w:b w:val="0"/>
          <w:i w:val="0"/>
          <w:color w:val="1A1A1A"/>
          <w:sz w:val="20"/>
        </w:rPr>
        <w:t>In Tanzania, female circumcision was criminalised in 1998 through an amendment to the Sexual Offences (Special Provisions) Act, and further child-protection obligations were codified in the Law of the Child Act of 2009 (Boyle et al., 2020; Shabani &amp; Gemma, 2018). Enforcement, however, has remained weak, hampered by contradictions in how the law defines childhood, by limited governmental capacity, and by the persistence of socio-cultural norms that continue to sanction the practice at the community level (Shabani &amp; Gemma, 2018). The historical pattern established under colonial rule - in which prohibition without community engagement drives a custom underground rather than ending it - has, on the available evidence, repeated itself under post-colonial law (Boyle et al., 2020; Hodgson, 2011).</w:t>
      </w:r>
    </w:p>
    <w:p>
      <w:pPr>
        <w:spacing w:after="120" w:line="240" w:lineRule="auto"/>
        <w:jc w:val="both"/>
      </w:pPr>
      <w:r>
        <w:rPr>
          <w:rFonts w:ascii="Times New Roman" w:hAnsi="Times New Roman" w:cs="Times New Roman"/>
          <w:b w:val="0"/>
          <w:i w:val="0"/>
          <w:color w:val="1A1A1A"/>
          <w:sz w:val="20"/>
        </w:rPr>
        <w:t>Among the Maasai specifically, legal pressure appears to have altered the form of the practice rather than eliminating it. Traditional public ceremonies, once marked by distinctive songs and ceremonial dress, have in many communities been abandoned in favour of covert cutting, timed to coincide with boys' circumcision so as to divert scrutiny, or performed on infants as young as seven days old precisely because infants cannot report the procedure and secrecy is easier to maintain in the household (Friedrich Naumann Foundation, 2022, 2025a; Kipuri, 2008). Traditional excisors, known in Maa as</w:t>
      </w:r>
      <w:r>
        <w:rPr>
          <w:rFonts w:ascii="Times New Roman" w:hAnsi="Times New Roman" w:cs="Times New Roman"/>
          <w:b w:val="0"/>
          <w:i w:val="0"/>
          <w:color w:val="1A1A1A"/>
          <w:sz w:val="20"/>
        </w:rPr>
        <w:t xml:space="preserve"> </w:t>
      </w:r>
      <w:r>
        <w:rPr>
          <w:rFonts w:ascii="Times New Roman" w:hAnsi="Times New Roman" w:cs="Times New Roman"/>
          <w:b w:val="0"/>
          <w:i/>
          <w:color w:val="1A1A1A"/>
          <w:sz w:val="20"/>
        </w:rPr>
        <w:t>engamuratani</w:t>
      </w:r>
      <w:r>
        <w:rPr>
          <w:rFonts w:ascii="Times New Roman" w:hAnsi="Times New Roman" w:cs="Times New Roman"/>
          <w:b w:val="0"/>
          <w:i/>
          <w:color w:val="1A1A1A"/>
          <w:sz w:val="20"/>
        </w:rPr>
        <w:t xml:space="preserve"> </w:t>
      </w:r>
      <w:r>
        <w:rPr>
          <w:rFonts w:ascii="Times New Roman" w:hAnsi="Times New Roman" w:cs="Times New Roman"/>
          <w:b w:val="0"/>
          <w:i w:val="0"/>
          <w:color w:val="1A1A1A"/>
          <w:sz w:val="20"/>
        </w:rPr>
        <w:t>continue to perform the operation - eportedly earning up to the equivalent of six US dollars, or a cow, goats, sheep, and a portion of ceremonial meat, per initiate - and are documented as exerting pressure on parents reluctant to have their daughters cut, notwithstanding awareness of both the health risks and the illegality of the practice (Friedrich Naumann Foundation, 2024, 2025b; Shabani &amp; Gemma, 2018).</w:t>
      </w:r>
    </w:p>
    <w:p>
      <w:pPr>
        <w:spacing w:after="120" w:line="240" w:lineRule="auto"/>
        <w:jc w:val="both"/>
      </w:pPr>
      <w:r>
        <w:rPr>
          <w:rFonts w:ascii="Times New Roman" w:hAnsi="Times New Roman" w:cs="Times New Roman"/>
          <w:b w:val="0"/>
          <w:i w:val="0"/>
          <w:color w:val="1A1A1A"/>
          <w:sz w:val="20"/>
        </w:rPr>
        <w:t>At the same time, the historical record from Siha District in the Kilimanjaro region shows that community-led, rather than externally imposed, strategies have begun to produce measurable change. Rescue centres, vocational training programmes, and the conversion of over one hundred former circumcisers to alternative livelihoods through microfinance and savings groups have together enabled a documented cohort of Maasai women to construct adult identity through education and economic agency rather than through the cut - the clearest present-day evidence that the historical logic connecting circumcision, marriage, and survival can be renegotiated when women are offered genuine economic alternatives, rather than simply prohibited from the practice by external decree (Friedrich Naumann Foundation, 2022, 2024, 2025b; Leng'ete, 2019).</w:t>
      </w:r>
    </w:p>
    <w:p>
      <w:pPr>
        <w:keepNext/>
        <w:keepLines/>
        <w:spacing w:before="200" w:after="60"/>
      </w:pPr>
      <w:r>
        <w:rPr>
          <w:rFonts w:ascii="Times New Roman" w:hAnsi="Times New Roman" w:cs="Times New Roman"/>
          <w:b/>
          <w:i w:val="0"/>
          <w:color w:val="9C0E33"/>
          <w:sz w:val="21"/>
        </w:rPr>
        <w:t>5. CONCLUSION</w:t>
      </w:r>
    </w:p>
    <w:p>
      <w:pPr>
        <w:spacing w:after="120" w:line="240" w:lineRule="auto"/>
        <w:jc w:val="both"/>
      </w:pPr>
      <w:r>
        <w:rPr>
          <w:rFonts w:ascii="Times New Roman" w:hAnsi="Times New Roman" w:cs="Times New Roman"/>
          <w:b w:val="0"/>
          <w:i w:val="0"/>
          <w:color w:val="1A1A1A"/>
          <w:sz w:val="20"/>
        </w:rPr>
        <w:t>This historical survey demonstrates that female circumcision is neither a static nor a monolithic practice, but one that has evolved across millennia, geographies, and socio-political contexts (Booth, 2016; Kipuri, 2008; Lightfoot-Klein, 1989). From its obscure origins in ancient Egypt and along the Red Sea coast to its contemporary manifestations among East African pastoralists, the practice has consistently served as a mechanism for regulating female sexuality, ensuring marriageability, and marking cultural identity, even as the specific rationale offered for it has varied by period and community (Booth, 2016; Hoffman, 2002; Kenyatta, 1938). The historical evidence reveals striking continuity in these underlying rationales - the preservation of virginity, the enhancement of social status, and, in slave-market contexts, the extraction of higher prices - even as globalisation has more recently extended the geography of the practice to immigrant communities in Europe, North America, and Australia (Boyle et al., 2020; Lightfoot-Klein, 1989).</w:t>
      </w:r>
    </w:p>
    <w:p>
      <w:pPr>
        <w:spacing w:after="120" w:line="240" w:lineRule="auto"/>
        <w:jc w:val="both"/>
      </w:pPr>
      <w:r>
        <w:rPr>
          <w:rFonts w:ascii="Times New Roman" w:hAnsi="Times New Roman" w:cs="Times New Roman"/>
          <w:b w:val="0"/>
          <w:i w:val="0"/>
          <w:color w:val="1A1A1A"/>
          <w:sz w:val="20"/>
        </w:rPr>
        <w:t>The article has also shown that no single theory of origin - diffusionist or independently developed - adequately accounts for the practice's persistence across such disparate cultures, and that the popular assumption of an intrinsic link to Islam, or to religion more generally, does not withstand scriptural or historical scrutiny (Gachiri, 2000; Kenyatta, 1938). Most significantly for policy and programming, the historical record shows with some consistency that colonial and missionary campaigns against female circumcision produced unintended consequences: rather than eradicating the practice, prohibition in Sudan and Kenya triggered violent resistance, mass self-circumcision movements, and the politicisation of the custom as an anti-colonial symbol (Anderson, 2002; Kenyatta, 1938; Thomas, 2000). The Maasai case is particularly instructive in this respect, since colonial development policy undermined Maasai autonomy and deepened gender inequality in ways that made cultural practices such as female circumcision into markers of resistance against external domination - a dynamic that contemporary legal prohibition in Tanzania appears, on present evidence, to be repeating rather than resolving, driving the practice underground into infancy and secrecy rather than ending it (Hodgson, 2005, 2011; Shabani &amp; Gemma, 2018).</w:t>
      </w:r>
    </w:p>
    <w:p>
      <w:pPr>
        <w:spacing w:after="120" w:line="240" w:lineRule="auto"/>
        <w:jc w:val="both"/>
      </w:pPr>
      <w:r>
        <w:rPr>
          <w:rFonts w:ascii="Times New Roman" w:hAnsi="Times New Roman" w:cs="Times New Roman"/>
          <w:b w:val="0"/>
          <w:i w:val="0"/>
          <w:color w:val="1A1A1A"/>
          <w:sz w:val="20"/>
        </w:rPr>
        <w:t>The historical lesson is therefore a cautionary one: external interventions - whether colonial, missionary, or contemporary legal - have repeatedly failed when they adopt absolutist, top-down approaches that ignore the deep cultural, economic, and political meanings attached to female circumcision (Boyle et al., 2020; Kenyatta, 1938; Thomas, 2000). Evidence from community-led economic and educational initiatives among the Maasai of Siha District suggests that a rights-based approach which prioritises community engagement, women's economic empowerment, and contextual understanding offers a more historically defensible pathway toward change than prohibition alone (Friedrich Naumann Foundation, 2022, 2024, 2025a; Leng'ete, 2019), though the demonstrated resilience of the practice across two millennia should caution against expectations of a rapid or linear transition (Booth, 2016; Kipuri, 2008).</w:t>
      </w:r>
    </w:p>
    <w:p>
      <w:pPr>
        <w:keepNext/>
        <w:keepLines/>
        <w:spacing w:before="200" w:after="60"/>
      </w:pPr>
      <w:r>
        <w:rPr>
          <w:rFonts w:ascii="Times New Roman" w:hAnsi="Times New Roman" w:cs="Times New Roman"/>
          <w:b/>
          <w:i w:val="0"/>
          <w:color w:val="9C0E33"/>
          <w:sz w:val="21"/>
        </w:rPr>
        <w:t>REFERENCES</w:t>
      </w:r>
    </w:p>
    <w:p>
      <w:pPr>
        <w:spacing w:after="100"/>
        <w:ind w:left="360" w:hanging="360"/>
      </w:pPr>
      <w:r>
        <w:rPr>
          <w:rFonts w:ascii="Times New Roman" w:hAnsi="Times New Roman" w:cs="Times New Roman"/>
          <w:b w:val="0"/>
          <w:i w:val="0"/>
          <w:color w:val="1A1A1A"/>
          <w:sz w:val="18"/>
        </w:rPr>
        <w:t>Adima, A. (2020). The sound of silence: The 1929-30 Gikuyu "female circumcision controversy" and the discursive suppression of African women's voices. Gender and Research, 21(1), 18–37.</w:t>
      </w:r>
    </w:p>
    <w:p>
      <w:pPr>
        <w:spacing w:after="100"/>
        <w:ind w:left="360" w:hanging="360"/>
      </w:pPr>
      <w:r>
        <w:rPr>
          <w:rFonts w:ascii="Times New Roman" w:hAnsi="Times New Roman" w:cs="Times New Roman"/>
          <w:b w:val="0"/>
          <w:i w:val="0"/>
          <w:color w:val="1A1A1A"/>
          <w:sz w:val="18"/>
        </w:rPr>
        <w:t>Anderson, D. M. (2002). The death of Hulda Stumpf: Murder, missions, and the female circumcision controversy in colonial Kenya. Journal of Eastern African Studies, 1(1), 209–229.</w:t>
      </w:r>
    </w:p>
    <w:p>
      <w:pPr>
        <w:spacing w:after="100"/>
        <w:ind w:left="360" w:hanging="360"/>
      </w:pPr>
      <w:r>
        <w:rPr>
          <w:rFonts w:ascii="Times New Roman" w:hAnsi="Times New Roman" w:cs="Times New Roman"/>
          <w:b w:val="0"/>
          <w:i w:val="0"/>
          <w:color w:val="1A1A1A"/>
          <w:sz w:val="18"/>
        </w:rPr>
        <w:t>Booth, S. (2016). Female circumcision in colonial Kenya: Culture, religion, and the making of African modernity. Routledge.</w:t>
      </w:r>
    </w:p>
    <w:p>
      <w:pPr>
        <w:spacing w:after="100"/>
        <w:ind w:left="360" w:hanging="360"/>
      </w:pPr>
      <w:r>
        <w:rPr>
          <w:rFonts w:ascii="Times New Roman" w:hAnsi="Times New Roman" w:cs="Times New Roman"/>
          <w:b w:val="0"/>
          <w:i w:val="0"/>
          <w:color w:val="1A1A1A"/>
          <w:sz w:val="18"/>
        </w:rPr>
        <w:t>Boyle, E. H., Songora, F., &amp; Foss, G. (2020). International human rights law and social change: The case of female genital cutting. Law &amp; Society Review, 54(3), 586–619.</w:t>
      </w:r>
    </w:p>
    <w:p>
      <w:pPr>
        <w:spacing w:after="100"/>
        <w:ind w:left="360" w:hanging="360"/>
      </w:pPr>
      <w:r>
        <w:rPr>
          <w:rFonts w:ascii="Times New Roman" w:hAnsi="Times New Roman" w:cs="Times New Roman"/>
          <w:b w:val="0"/>
          <w:i w:val="0"/>
          <w:color w:val="1A1A1A"/>
          <w:sz w:val="18"/>
        </w:rPr>
        <w:t xml:space="preserve">Friedrich Naumann Foundation. (2022, February 7). Women empowerment: Challenging social norms that violate the rights of women in Maasai communities. </w:t>
      </w:r>
      <w:r>
        <w:rPr>
          <w:rFonts w:ascii="Times New Roman" w:hAnsi="Times New Roman" w:cs="Times New Roman"/>
          <w:b w:val="0"/>
          <w:i w:val="0"/>
          <w:color w:val="1A1A1A"/>
          <w:sz w:val="18"/>
        </w:rPr>
        <w:t>https://www.freiheit.org/tansania/challenging-social-norms-violate-rights-women-maasai-communities</w:t>
      </w:r>
    </w:p>
    <w:p>
      <w:pPr>
        <w:spacing w:after="100"/>
        <w:ind w:left="360" w:hanging="360"/>
      </w:pPr>
      <w:r>
        <w:rPr>
          <w:rFonts w:ascii="Times New Roman" w:hAnsi="Times New Roman" w:cs="Times New Roman"/>
          <w:b w:val="0"/>
          <w:i w:val="0"/>
          <w:color w:val="1A1A1A"/>
          <w:sz w:val="18"/>
        </w:rPr>
        <w:t xml:space="preserve">Friedrich Naumann Foundation. (2024, November 5). Human rights: Tanzanian Maasai voices in transformative bid to tackle early marriages and GBV. </w:t>
      </w:r>
      <w:r>
        <w:rPr>
          <w:rFonts w:ascii="Times New Roman" w:hAnsi="Times New Roman" w:cs="Times New Roman"/>
          <w:b w:val="0"/>
          <w:i w:val="0"/>
          <w:color w:val="1A1A1A"/>
          <w:sz w:val="18"/>
        </w:rPr>
        <w:t>https://www.freiheit.org/el/node/45082</w:t>
      </w:r>
    </w:p>
    <w:p>
      <w:pPr>
        <w:spacing w:after="100"/>
        <w:ind w:left="360" w:hanging="360"/>
      </w:pPr>
      <w:r>
        <w:rPr>
          <w:rFonts w:ascii="Times New Roman" w:hAnsi="Times New Roman" w:cs="Times New Roman"/>
          <w:b w:val="0"/>
          <w:i w:val="0"/>
          <w:color w:val="1A1A1A"/>
          <w:sz w:val="18"/>
        </w:rPr>
        <w:t xml:space="preserve">Friedrich Naumann Foundation. (2025a). International Women's Day: A safe society for development – The fight against FGM in Tanzania. </w:t>
      </w:r>
      <w:r>
        <w:rPr>
          <w:rFonts w:ascii="Times New Roman" w:hAnsi="Times New Roman" w:cs="Times New Roman"/>
          <w:b w:val="0"/>
          <w:i w:val="0"/>
          <w:color w:val="1A1A1A"/>
          <w:sz w:val="18"/>
        </w:rPr>
        <w:t>https://www.freiheit.org/human-rights-hub-geneva/safe-society-development-fight-against-fgm-tanzania</w:t>
      </w:r>
    </w:p>
    <w:p>
      <w:pPr>
        <w:spacing w:after="100"/>
        <w:ind w:left="360" w:hanging="360"/>
      </w:pPr>
      <w:r>
        <w:rPr>
          <w:rFonts w:ascii="Times New Roman" w:hAnsi="Times New Roman" w:cs="Times New Roman"/>
          <w:b w:val="0"/>
          <w:i w:val="0"/>
          <w:color w:val="1A1A1A"/>
          <w:sz w:val="18"/>
        </w:rPr>
        <w:t xml:space="preserve">Friedrich Naumann Foundation. (2025b). New documentary highlights the fight to end female genital mutilation in Siha District. </w:t>
      </w:r>
      <w:r>
        <w:rPr>
          <w:rFonts w:ascii="Times New Roman" w:hAnsi="Times New Roman" w:cs="Times New Roman"/>
          <w:b w:val="0"/>
          <w:i w:val="0"/>
          <w:color w:val="1A1A1A"/>
          <w:sz w:val="18"/>
        </w:rPr>
        <w:t>https://www.freiheit.org/pressemitteilung/new-documentary-highlights-fight-end-female-genital-mutilation-siha-district</w:t>
      </w:r>
    </w:p>
    <w:p>
      <w:pPr>
        <w:spacing w:after="100"/>
        <w:ind w:left="360" w:hanging="360"/>
      </w:pPr>
      <w:r>
        <w:rPr>
          <w:rFonts w:ascii="Times New Roman" w:hAnsi="Times New Roman" w:cs="Times New Roman"/>
          <w:b w:val="0"/>
          <w:i w:val="0"/>
          <w:color w:val="1A1A1A"/>
          <w:sz w:val="18"/>
        </w:rPr>
        <w:t>Gachiri, E. W. (2000). Female circumcision with reference to the Agikuyu of Kenya. Paulines Publications Africa.</w:t>
      </w:r>
    </w:p>
    <w:p>
      <w:pPr>
        <w:spacing w:after="100"/>
        <w:ind w:left="360" w:hanging="360"/>
      </w:pPr>
      <w:r>
        <w:rPr>
          <w:rFonts w:ascii="Times New Roman" w:hAnsi="Times New Roman" w:cs="Times New Roman"/>
          <w:b w:val="0"/>
          <w:i w:val="0"/>
          <w:color w:val="1A1A1A"/>
          <w:sz w:val="18"/>
        </w:rPr>
        <w:t>Gichuiri, J. M. (2008). Functional substitutes for female circumcision among the Abagusii and Kikuyu of Kenya. Adventist University of Africa.</w:t>
      </w:r>
    </w:p>
    <w:p>
      <w:pPr>
        <w:spacing w:after="100"/>
        <w:ind w:left="360" w:hanging="360"/>
      </w:pPr>
      <w:r>
        <w:rPr>
          <w:rFonts w:ascii="Times New Roman" w:hAnsi="Times New Roman" w:cs="Times New Roman"/>
          <w:b w:val="0"/>
          <w:i w:val="0"/>
          <w:color w:val="1A1A1A"/>
          <w:sz w:val="18"/>
        </w:rPr>
        <w:t>Hodgson, D. L. (2005). The church of women: Gendered encounters between Maasai and missionaries. Indiana University Press.</w:t>
      </w:r>
    </w:p>
    <w:p>
      <w:pPr>
        <w:spacing w:after="100"/>
        <w:ind w:left="360" w:hanging="360"/>
      </w:pPr>
      <w:r>
        <w:rPr>
          <w:rFonts w:ascii="Times New Roman" w:hAnsi="Times New Roman" w:cs="Times New Roman"/>
          <w:b w:val="0"/>
          <w:i w:val="0"/>
          <w:color w:val="1A1A1A"/>
          <w:sz w:val="18"/>
        </w:rPr>
        <w:t>Hodgson, D. L. (2011). Being Maasai, becoming indigenous: Postcolonial politics in a neoliberal world. Indiana University Press.</w:t>
      </w:r>
    </w:p>
    <w:p>
      <w:pPr>
        <w:spacing w:after="100"/>
        <w:ind w:left="360" w:hanging="360"/>
      </w:pPr>
      <w:r>
        <w:rPr>
          <w:rFonts w:ascii="Times New Roman" w:hAnsi="Times New Roman" w:cs="Times New Roman"/>
          <w:b w:val="0"/>
          <w:i w:val="0"/>
          <w:color w:val="1A1A1A"/>
          <w:sz w:val="18"/>
        </w:rPr>
        <w:t>Hoffman, B. G. (Producer). (2002). Womanhood and circumcision: Three Maasai women have their say [Documentary]. University of California, Extension Center for Media and Independent Learning.</w:t>
      </w:r>
    </w:p>
    <w:p>
      <w:pPr>
        <w:spacing w:after="100"/>
        <w:ind w:left="360" w:hanging="360"/>
      </w:pPr>
      <w:r>
        <w:rPr>
          <w:rFonts w:ascii="Times New Roman" w:hAnsi="Times New Roman" w:cs="Times New Roman"/>
          <w:b w:val="0"/>
          <w:i w:val="0"/>
          <w:color w:val="1A1A1A"/>
          <w:sz w:val="18"/>
        </w:rPr>
        <w:t>Kenyatta, J. (1938). Facing Mount Kenya: The tribal life of the Gikuyu. Secker and Warburg.</w:t>
      </w:r>
    </w:p>
    <w:p>
      <w:pPr>
        <w:spacing w:after="100"/>
        <w:ind w:left="360" w:hanging="360"/>
      </w:pPr>
      <w:r>
        <w:rPr>
          <w:rFonts w:ascii="Times New Roman" w:hAnsi="Times New Roman" w:cs="Times New Roman"/>
          <w:b w:val="0"/>
          <w:i w:val="0"/>
          <w:color w:val="1A1A1A"/>
          <w:sz w:val="18"/>
        </w:rPr>
        <w:t>Kershaw, G. (1997). Mau Mau from below. James Currey.</w:t>
      </w:r>
    </w:p>
    <w:p>
      <w:pPr>
        <w:spacing w:after="100"/>
        <w:ind w:left="360" w:hanging="360"/>
      </w:pPr>
      <w:r>
        <w:rPr>
          <w:rFonts w:ascii="Times New Roman" w:hAnsi="Times New Roman" w:cs="Times New Roman"/>
          <w:b w:val="0"/>
          <w:i w:val="0"/>
          <w:color w:val="1A1A1A"/>
          <w:sz w:val="18"/>
        </w:rPr>
        <w:t>Kipuri, N. (2008). Female circumcision among the Maasai of Kenya: Continuity and change. In Y. Hernlund &amp; B. Shell-Duncan (Eds.), Transforming female circumcision: Rites of passage, resistance, and change (pp. 123–145). Rutgers University Press.</w:t>
      </w:r>
    </w:p>
    <w:p>
      <w:pPr>
        <w:spacing w:after="100"/>
        <w:ind w:left="360" w:hanging="360"/>
      </w:pPr>
      <w:r>
        <w:rPr>
          <w:rFonts w:ascii="Times New Roman" w:hAnsi="Times New Roman" w:cs="Times New Roman"/>
          <w:b w:val="0"/>
          <w:i w:val="0"/>
          <w:color w:val="1A1A1A"/>
          <w:sz w:val="18"/>
        </w:rPr>
        <w:t>Leng'ete, N. (2019). The girls in the wild fig tree: How I fought for my sisters' freedom. Little, Brown and Company.</w:t>
      </w:r>
    </w:p>
    <w:p>
      <w:pPr>
        <w:spacing w:after="100"/>
        <w:ind w:left="360" w:hanging="360"/>
      </w:pPr>
      <w:r>
        <w:rPr>
          <w:rFonts w:ascii="Times New Roman" w:hAnsi="Times New Roman" w:cs="Times New Roman"/>
          <w:b w:val="0"/>
          <w:i w:val="0"/>
          <w:color w:val="1A1A1A"/>
          <w:sz w:val="18"/>
        </w:rPr>
        <w:t>Lightfoot-Klein, H. (1989). The sexual experience and marital adjustment of genitally circumcised women. Journal of Sex Research, 26(2), 216–225.</w:t>
      </w:r>
    </w:p>
    <w:p>
      <w:pPr>
        <w:spacing w:after="100"/>
        <w:ind w:left="360" w:hanging="360"/>
      </w:pPr>
      <w:r>
        <w:rPr>
          <w:rFonts w:ascii="Times New Roman" w:hAnsi="Times New Roman" w:cs="Times New Roman"/>
          <w:b w:val="0"/>
          <w:i w:val="0"/>
          <w:color w:val="1A1A1A"/>
          <w:sz w:val="18"/>
        </w:rPr>
        <w:t>Mills, W. G. (n.d.). The Kikuyu (Course 316). Saint Mary's University.</w:t>
      </w:r>
    </w:p>
    <w:p>
      <w:pPr>
        <w:spacing w:after="100"/>
        <w:ind w:left="360" w:hanging="360"/>
      </w:pPr>
      <w:r>
        <w:rPr>
          <w:rFonts w:ascii="Times New Roman" w:hAnsi="Times New Roman" w:cs="Times New Roman"/>
          <w:b w:val="0"/>
          <w:i w:val="0"/>
          <w:color w:val="1A1A1A"/>
          <w:sz w:val="18"/>
        </w:rPr>
        <w:t>Muraya, M. W. (2015). Mau Mau War, female circumcision and social-cultural identity among the Agikuyu of Kiambu, Kenya. International Journal of Humanities and Social Science, 2(1), 26.</w:t>
      </w:r>
    </w:p>
    <w:p>
      <w:pPr>
        <w:spacing w:after="100"/>
        <w:ind w:left="360" w:hanging="360"/>
      </w:pPr>
      <w:r>
        <w:rPr>
          <w:rFonts w:ascii="Times New Roman" w:hAnsi="Times New Roman" w:cs="Times New Roman"/>
          <w:b w:val="0"/>
          <w:i w:val="0"/>
          <w:color w:val="1A1A1A"/>
          <w:sz w:val="18"/>
        </w:rPr>
        <w:t>Murray, J. (1974). The Kikuyu female circumcision controversy, 1929–1932. Journal of Religion in Africa, 6(1), 42–63.</w:t>
      </w:r>
    </w:p>
    <w:p>
      <w:pPr>
        <w:spacing w:after="100"/>
        <w:ind w:left="360" w:hanging="360"/>
      </w:pPr>
      <w:r>
        <w:rPr>
          <w:rFonts w:ascii="Times New Roman" w:hAnsi="Times New Roman" w:cs="Times New Roman"/>
          <w:b w:val="0"/>
          <w:i w:val="0"/>
          <w:color w:val="1A1A1A"/>
          <w:sz w:val="18"/>
        </w:rPr>
        <w:t>Njogu, T. (2018). Educational consequences of female circumcision in Kenya. International Journal of Educational Development, 62, 1265–1272.</w:t>
      </w:r>
    </w:p>
    <w:p>
      <w:pPr>
        <w:spacing w:after="100"/>
        <w:ind w:left="360" w:hanging="360"/>
      </w:pPr>
      <w:r>
        <w:rPr>
          <w:rFonts w:ascii="Times New Roman" w:hAnsi="Times New Roman" w:cs="Times New Roman"/>
          <w:b w:val="0"/>
          <w:i w:val="0"/>
          <w:color w:val="1A1A1A"/>
          <w:sz w:val="18"/>
        </w:rPr>
        <w:t>Sandgren, D. P. (1982). Twentieth-century religious and political divisions among the Kikuyu of Kenya. Journal of Religion in Africa, 13(1), 33–52.</w:t>
      </w:r>
    </w:p>
    <w:p>
      <w:pPr>
        <w:spacing w:after="100"/>
        <w:ind w:left="360" w:hanging="360"/>
      </w:pPr>
      <w:r>
        <w:rPr>
          <w:rFonts w:ascii="Times New Roman" w:hAnsi="Times New Roman" w:cs="Times New Roman"/>
          <w:b w:val="0"/>
          <w:i w:val="0"/>
          <w:color w:val="1A1A1A"/>
          <w:sz w:val="18"/>
        </w:rPr>
        <w:t>Shabani, A., &amp; Gemma, R. (2018). Female genital mutilation in Tanzania: Health and gender impacts. Tanzania Journal of Health Research, 20(3), 1–12.</w:t>
      </w:r>
    </w:p>
    <w:p>
      <w:pPr>
        <w:spacing w:after="100"/>
        <w:ind w:left="360" w:hanging="360"/>
      </w:pPr>
      <w:r>
        <w:rPr>
          <w:rFonts w:ascii="Times New Roman" w:hAnsi="Times New Roman" w:cs="Times New Roman"/>
          <w:b w:val="0"/>
          <w:i w:val="0"/>
          <w:color w:val="1A1A1A"/>
          <w:sz w:val="18"/>
        </w:rPr>
        <w:t>Spencer, P. (1998). The pastoral continuum: The marginalization of tradition in East Africa. Oxford University Press.</w:t>
      </w:r>
    </w:p>
    <w:p>
      <w:pPr>
        <w:spacing w:after="100"/>
        <w:ind w:left="360" w:hanging="360"/>
      </w:pPr>
      <w:r>
        <w:rPr>
          <w:rFonts w:ascii="Times New Roman" w:hAnsi="Times New Roman" w:cs="Times New Roman"/>
          <w:b w:val="0"/>
          <w:i w:val="0"/>
          <w:color w:val="1A1A1A"/>
          <w:sz w:val="18"/>
        </w:rPr>
        <w:t>Talle, A. (1994). The making of female fertility: Anthropological perspectives on a bodily issue. Acta Obstetricia et Gynecologica Scandinavica, 73(4), 280–283.</w:t>
      </w:r>
    </w:p>
    <w:p>
      <w:pPr>
        <w:spacing w:after="100"/>
        <w:ind w:left="360" w:hanging="360"/>
      </w:pPr>
      <w:r>
        <w:rPr>
          <w:rFonts w:ascii="Times New Roman" w:hAnsi="Times New Roman" w:cs="Times New Roman"/>
          <w:b w:val="0"/>
          <w:i w:val="0"/>
          <w:color w:val="1A1A1A"/>
          <w:sz w:val="18"/>
        </w:rPr>
        <w:t>Thomas, L. M. (2000). Ngaitana (I will circumcise myself): Lessons from colonial campaigns against female circumcision in Meru, Kenya. Journal of Women's History, 12(2), 78–102.</w:t>
      </w:r>
    </w:p>
    <w:p>
      <w:pPr>
        <w:spacing w:after="100"/>
        <w:ind w:left="360" w:hanging="360"/>
      </w:pPr>
      <w:r>
        <w:rPr>
          <w:rFonts w:ascii="Times New Roman" w:hAnsi="Times New Roman" w:cs="Times New Roman"/>
          <w:b w:val="0"/>
          <w:i w:val="0"/>
          <w:color w:val="1A1A1A"/>
          <w:sz w:val="18"/>
        </w:rPr>
        <w:t>UNESCO. (2018). Enkipaata, Eunoto and Olng'esherr, three male rites of passage of the Maasai community (Representative List of the Intangible Cultural Heritage of Humanity).</w:t>
      </w:r>
    </w:p>
    <w:sectPr w:rsidR="00FC693F" w:rsidRPr="0006063C" w:rsidSect="00034616">
      <w:type w:val="continuous"/>
      <w:pgSz w:w="11904" w:h="16838"/>
      <w:pgMar w:top="1440" w:right="1104" w:bottom="1160" w:left="1104" w:header="720" w:footer="600" w:gutter="0"/>
      <w:cols w:space="340" w:num="2" w:equalWidth="1"/>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700" w:val="right"/>
      </w:tabs>
      <w:pBdr>
        <w:top w:val="single" w:sz="12" w:space="0" w:color="9C0E33"/>
      </w:pBdr>
    </w:pPr>
    <w:r>
      <w:rPr>
        <w:rFonts w:ascii="Times New Roman" w:hAnsi="Times New Roman" w:cs="Times New Roman"/>
        <w:b w:val="0"/>
        <w:i w:val="0"/>
        <w:color w:val="545454"/>
        <w:sz w:val="16"/>
      </w:rPr>
      <w:t>The CUEA Journal of Humanities &amp; Social Sciences</w:t>
    </w:r>
    <w:r>
      <w:rPr>
        <w:rFonts w:ascii="Times New Roman" w:hAnsi="Times New Roman" w:cs="Times New Roman"/>
        <w:b w:val="0"/>
        <w:i w:val="0"/>
        <w:color w:val="545454"/>
        <w:sz w:val="16"/>
      </w:rPr>
      <w:tab/>
      <w:t xml:space="preserve">Page </w:t>
    </w:r>
    <w:fldSimple w:instr=" PAGE ">
      <w:r>
        <w:rPr>
          <w:rFonts w:ascii="Times New Roman" w:hAnsi="Times New Roman"/>
          <w:color w:val="545454"/>
          <w:sz w:val="16"/>
          <w:szCs w:val="16"/>
        </w:rPr>
        <w:t>1</w:t>
      </w:r>
    </w:fldSimple>
    <w:r>
      <w:rPr>
        <w:rFonts w:ascii="Times New Roman" w:hAnsi="Times New Roman" w:cs="Times New Roman"/>
        <w:b w:val="0"/>
        <w:i w:val="0"/>
        <w:color w:val="545454"/>
        <w:sz w:val="16"/>
      </w:rPr>
      <w:t xml:space="preserve"> | CUEA J. Humanit. Soc. Sci.</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700" w:val="right"/>
      </w:tabs>
      <w:pBdr>
        <w:top w:val="single" w:sz="12" w:space="0" w:color="9C0E33"/>
      </w:pBdr>
    </w:pPr>
    <w:r>
      <w:rPr>
        <w:rFonts w:ascii="Times New Roman" w:hAnsi="Times New Roman" w:cs="Times New Roman"/>
        <w:b w:val="0"/>
        <w:i w:val="0"/>
        <w:color w:val="545454"/>
        <w:sz w:val="16"/>
      </w:rPr>
      <w:t>The CUEA Journal of Humanities &amp; Social Sciences</w:t>
    </w:r>
    <w:r>
      <w:rPr>
        <w:rFonts w:ascii="Times New Roman" w:hAnsi="Times New Roman" w:cs="Times New Roman"/>
        <w:b w:val="0"/>
        <w:i w:val="0"/>
        <w:color w:val="545454"/>
        <w:sz w:val="16"/>
      </w:rPr>
      <w:tab/>
      <w:t xml:space="preserve">Page </w:t>
    </w:r>
    <w:fldSimple w:instr=" PAGE ">
      <w:r>
        <w:rPr>
          <w:rFonts w:ascii="Times New Roman" w:hAnsi="Times New Roman"/>
          <w:color w:val="545454"/>
          <w:sz w:val="16"/>
          <w:szCs w:val="16"/>
        </w:rPr>
        <w:t>1</w:t>
      </w:r>
    </w:fldSimple>
    <w:r>
      <w:rPr>
        <w:rFonts w:ascii="Times New Roman" w:hAnsi="Times New Roman" w:cs="Times New Roman"/>
        <w:b w:val="0"/>
        <w:i w:val="0"/>
        <w:color w:val="545454"/>
        <w:sz w:val="16"/>
      </w:rPr>
      <w:t xml:space="preserve"> | CUEA J. Humanit. Soc. Sci.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700" w:val="right"/>
      </w:tabs>
      <w:pBdr>
        <w:bottom w:val="single" w:sz="6" w:space="0" w:color="F49124"/>
      </w:pBdr>
    </w:pPr>
    <w:r>
      <w:rPr>
        <w:rFonts w:ascii="Times New Roman" w:hAnsi="Times New Roman" w:cs="Times New Roman"/>
        <w:b w:val="0"/>
        <w:i/>
        <w:color w:val="545454"/>
        <w:sz w:val="18"/>
      </w:rPr>
      <w:t>ISSN 3078-3143 (Online)</w:t>
    </w:r>
    <w:r>
      <w:rPr>
        <w:rFonts w:ascii="Times New Roman" w:hAnsi="Times New Roman" w:cs="Times New Roman"/>
        <w:b w:val="0"/>
        <w:i/>
        <w:color w:val="545454"/>
        <w:sz w:val="18"/>
      </w:rPr>
      <w:tab/>
    </w:r>
    <w:r>
      <w:rPr>
        <w:rFonts w:ascii="Times New Roman" w:hAnsi="Times New Roman" w:cs="Times New Roman"/>
        <w:b w:val="0"/>
        <w:i/>
        <w:color w:val="545454"/>
        <w:sz w:val="18"/>
      </w:rPr>
      <w:t>CUEA J. Humanities. Soc. Sci.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Times New Roman" w:hAnsi="Times New Roman" w:eastAsia="Times New Roman" w:cs="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yperlink" Target="mailto:Mwangu20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