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848"/>
        <w:gridCol w:w="4848"/>
      </w:tblGrid>
      <w:tr>
        <w:tc>
          <w:tcPr>
            <w:tcW w:type="dxa" w:w="2200"/>
            <w:vAlign w:val="center"/>
          </w:tcPr>
          <w:p>
            <w:pPr>
              <w:jc w:val="center"/>
            </w:pPr>
            <w:r>
              <w:drawing>
                <wp:inline xmlns:a="http://schemas.openxmlformats.org/drawingml/2006/main" xmlns:pic="http://schemas.openxmlformats.org/drawingml/2006/picture">
                  <wp:extent cx="1028700" cy="936278"/>
                  <wp:docPr id="1" name="Picture 1"/>
                  <wp:cNvGraphicFramePr>
                    <a:graphicFrameLocks noChangeAspect="1"/>
                  </wp:cNvGraphicFramePr>
                  <a:graphic>
                    <a:graphicData uri="http://schemas.openxmlformats.org/drawingml/2006/picture">
                      <pic:pic>
                        <pic:nvPicPr>
                          <pic:cNvPr id="0" name="logo.png"/>
                          <pic:cNvPicPr/>
                        </pic:nvPicPr>
                        <pic:blipFill>
                          <a:blip r:embed="rId13"/>
                          <a:stretch>
                            <a:fillRect/>
                          </a:stretch>
                        </pic:blipFill>
                        <pic:spPr>
                          <a:xfrm>
                            <a:off x="0" y="0"/>
                            <a:ext cx="1028700" cy="936278"/>
                          </a:xfrm>
                          <a:prstGeom prst="rect"/>
                        </pic:spPr>
                      </pic:pic>
                    </a:graphicData>
                  </a:graphic>
                </wp:inline>
              </w:drawing>
            </w:r>
          </w:p>
        </w:tc>
        <w:tc>
          <w:tcPr>
            <w:tcW w:type="dxa" w:w="7500"/>
            <w:vAlign w:val="center"/>
          </w:tcPr>
          <w:p>
            <w:pPr>
              <w:spacing w:before="480"/>
              <w:jc w:val="center"/>
            </w:pPr>
            <w:r>
              <w:rPr>
                <w:rFonts w:ascii="Times New Roman" w:hAnsi="Times New Roman" w:cs="Times New Roman"/>
                <w:b/>
                <w:i w:val="0"/>
                <w:color w:val="9C0E33"/>
                <w:sz w:val="22"/>
              </w:rPr>
              <w:t>THE CUEA JOURNAL OF HUMANITIES &amp; SOCIAL SCIENCES</w:t>
            </w:r>
          </w:p>
          <w:p>
            <w:pPr>
              <w:spacing w:before="320"/>
              <w:jc w:val="center"/>
            </w:pPr>
            <w:r>
              <w:rPr>
                <w:rFonts w:ascii="Times New Roman" w:hAnsi="Times New Roman" w:cs="Times New Roman"/>
                <w:b w:val="0"/>
                <w:i w:val="0"/>
                <w:color w:val="1A1A1A"/>
                <w:sz w:val="18"/>
              </w:rPr>
              <w:t>ISSN 3078-3143 (Online)</w:t>
            </w:r>
          </w:p>
        </w:tc>
      </w:tr>
    </w:tbl>
    <w:p>
      <w:pPr>
        <w:spacing w:before="280" w:after="0" w:lineRule="exact" w:line="20"/>
        <w:pBdr>
          <w:bottom w:val="single" w:sz="17" w:space="0" w:color="9C0E33"/>
        </w:pBdr>
      </w:pPr>
      <w:r>
        <w:rPr>
          <w:sz w:val="2"/>
        </w:rPr>
      </w:r>
    </w:p>
    <w:p>
      <w:pPr>
        <w:spacing w:before="160" w:after="280" w:lineRule="exact" w:line="20"/>
        <w:pBdr>
          <w:bottom w:val="single" w:sz="8" w:space="0" w:color="F49124"/>
        </w:pBdr>
      </w:pPr>
      <w:r>
        <w:rPr>
          <w:sz w:val="2"/>
        </w:rPr>
      </w:r>
    </w:p>
    <w:p>
      <w:pPr>
        <w:spacing w:after="280" w:line="276" w:lineRule="auto"/>
        <w:jc w:val="center"/>
      </w:pPr>
      <w:r>
        <w:rPr>
          <w:rFonts w:ascii="Times New Roman" w:hAnsi="Times New Roman" w:cs="Times New Roman"/>
          <w:b/>
          <w:i w:val="0"/>
          <w:color w:val="9C0E33"/>
          <w:sz w:val="26"/>
        </w:rPr>
        <w:t>CUTTING AS CAPITAL: A SOCIAL CAPITAL THEORY ANALYSIS OF FEMALE CIRCUMCISION AMONG MAASAI WOMEN IN TANZANIA</w:t>
      </w:r>
    </w:p>
    <w:p>
      <w:pPr>
        <w:spacing w:after="0" w:line="252" w:lineRule="auto"/>
        <w:jc w:val="center"/>
      </w:pPr>
      <w:r>
        <w:rPr>
          <w:rFonts w:ascii="Times New Roman" w:hAnsi="Times New Roman" w:cs="Times New Roman"/>
          <w:b/>
          <w:i w:val="0"/>
          <w:color w:val="1A1A1A"/>
          <w:sz w:val="20"/>
        </w:rPr>
        <w:t>Mwangu Juliana Mutinda</w:t>
      </w:r>
    </w:p>
    <w:p>
      <w:pPr>
        <w:spacing w:after="80" w:line="252" w:lineRule="auto"/>
        <w:jc w:val="center"/>
      </w:pPr>
      <w:r>
        <w:rPr>
          <w:rFonts w:ascii="Times New Roman" w:hAnsi="Times New Roman" w:cs="Times New Roman"/>
          <w:b w:val="0"/>
          <w:i/>
          <w:color w:val="545454"/>
          <w:sz w:val="18"/>
        </w:rPr>
        <w:t>The Catholic University of Eastern Africa, Nairobi, Kenya</w:t>
      </w:r>
    </w:p>
    <w:p>
      <w:pPr>
        <w:spacing w:after="0" w:line="252" w:lineRule="auto"/>
        <w:jc w:val="center"/>
      </w:pPr>
      <w:r>
        <w:rPr>
          <w:rFonts w:ascii="Times New Roman" w:hAnsi="Times New Roman" w:cs="Times New Roman"/>
          <w:b/>
          <w:i w:val="0"/>
          <w:color w:val="1A1A1A"/>
          <w:sz w:val="20"/>
        </w:rPr>
        <w:t xml:space="preserve"> Samuel Nyanchoga </w:t>
      </w:r>
    </w:p>
    <w:p>
      <w:pPr>
        <w:spacing w:after="80" w:line="252" w:lineRule="auto"/>
        <w:jc w:val="center"/>
      </w:pPr>
      <w:r>
        <w:rPr>
          <w:rFonts w:ascii="Times New Roman" w:hAnsi="Times New Roman" w:cs="Times New Roman"/>
          <w:b w:val="0"/>
          <w:i/>
          <w:color w:val="545454"/>
          <w:sz w:val="18"/>
        </w:rPr>
        <w:t>The Catholic University of Eastern Africa, Nairobi, Kenya</w:t>
      </w:r>
    </w:p>
    <w:p>
      <w:pPr>
        <w:spacing w:after="0" w:line="252" w:lineRule="auto"/>
        <w:jc w:val="center"/>
      </w:pPr>
      <w:r>
        <w:rPr>
          <w:rFonts w:ascii="Times New Roman" w:hAnsi="Times New Roman" w:cs="Times New Roman"/>
          <w:b/>
          <w:i w:val="0"/>
          <w:color w:val="1A1A1A"/>
          <w:sz w:val="20"/>
        </w:rPr>
        <w:t xml:space="preserve"> Francis Muchoki</w:t>
      </w:r>
    </w:p>
    <w:p>
      <w:pPr>
        <w:spacing w:after="40" w:line="252" w:lineRule="auto"/>
        <w:jc w:val="center"/>
      </w:pPr>
      <w:r>
        <w:rPr>
          <w:rFonts w:ascii="Times New Roman" w:hAnsi="Times New Roman" w:cs="Times New Roman"/>
          <w:b w:val="0"/>
          <w:i/>
          <w:color w:val="545454"/>
          <w:sz w:val="18"/>
        </w:rPr>
        <w:t xml:space="preserve"> The Catholic University of Eastern Africa, Nairobi, Kenya</w:t>
      </w:r>
    </w:p>
    <w:p>
      <w:pPr>
        <w:spacing w:after="280" w:line="252" w:lineRule="auto"/>
        <w:jc w:val="center"/>
      </w:pPr>
      <w:r>
        <w:rPr>
          <w:rFonts w:ascii="Times New Roman" w:hAnsi="Times New Roman" w:cs="Times New Roman"/>
          <w:b/>
          <w:i w:val="0"/>
          <w:color w:val="545454"/>
          <w:sz w:val="18"/>
        </w:rPr>
        <w:t xml:space="preserve">Email: </w:t>
      </w:r>
      <w:hyperlink r:id="rId14">
        <w:r>
          <w:rPr>
            <w:rFonts w:ascii="Times New Roman" w:hAnsi="Times New Roman" w:cs="Times New Roman"/>
            <w:color w:val="0563C1"/>
            <w:u w:val="single"/>
            <w:sz w:val="18"/>
            <w:szCs w:val="18"/>
          </w:rPr>
          <w:t xml:space="preserve">Mwangu2015@gmail.com</w:t>
        </w:r>
      </w:hyperlink>
    </w:p>
    <w:p>
      <w:pPr>
        <w:spacing w:before="40" w:after="240" w:lineRule="exact" w:line="20"/>
        <w:pBdr>
          <w:bottom w:val="single" w:sz="8" w:space="0" w:color="F49124"/>
        </w:pBdr>
      </w:pPr>
      <w:r>
        <w:rPr>
          <w:sz w:val="2"/>
        </w:rPr>
      </w:r>
    </w:p>
    <w:p>
      <w:pPr>
        <w:sectPr>
          <w:headerReference w:type="default" r:id="rId9"/>
          <w:headerReference w:type="first" r:id="rId10"/>
          <w:footerReference w:type="default" r:id="rId11"/>
          <w:footerReference w:type="first" r:id="rId12"/>
          <w:pgSz w:w="11904" w:h="16838"/>
          <w:pgMar w:top="1440" w:right="1104" w:bottom="1160" w:left="1104" w:header="720" w:footer="600" w:gutter="0"/>
          <w:cols w:space="720"/>
          <w:titlePg/>
          <w:docGrid w:linePitch="360"/>
        </w:sectPr>
      </w:pPr>
    </w:p>
    <w:p>
      <w:pPr>
        <w:spacing w:before="120" w:after="80"/>
        <w:ind w:left="120" w:right="120"/>
        <w:jc w:val="both"/>
        <w:shd w:val="clear" w:color="auto" w:fill="FAF6F2"/>
        <w:pBdr>
          <w:top w:val="single" w:sz="8" w:space="0" w:color="9C0E33"/>
          <w:left w:val="single" w:sz="8" w:space="0" w:color="9C0E33"/>
          <w:right w:val="single" w:sz="8" w:space="0" w:color="9C0E33"/>
        </w:pBdr>
      </w:pPr>
      <w:r>
        <w:rPr>
          <w:rFonts w:ascii="Times New Roman" w:hAnsi="Times New Roman" w:cs="Times New Roman"/>
          <w:b/>
          <w:i w:val="0"/>
          <w:color w:val="9C0E33"/>
          <w:sz w:val="20"/>
        </w:rPr>
        <w:t>Abstract</w:t>
      </w:r>
    </w:p>
    <w:p>
      <w:pPr>
        <w:spacing w:before="0" w:after="120"/>
        <w:ind w:left="120" w:right="120"/>
        <w:jc w:val="both"/>
        <w:shd w:val="clear" w:color="auto" w:fill="FAF6F2"/>
        <w:pBdr>
          <w:left w:val="single" w:sz="8" w:space="0" w:color="9C0E33"/>
          <w:right w:val="single" w:sz="8" w:space="0" w:color="9C0E33"/>
          <w:bottom w:val="single" w:sz="8" w:space="0" w:color="9C0E33"/>
        </w:pBdr>
      </w:pPr>
      <w:r>
        <w:rPr>
          <w:rFonts w:ascii="Times New Roman" w:hAnsi="Times New Roman" w:cs="Times New Roman"/>
          <w:b w:val="0"/>
          <w:i/>
          <w:color w:val="1A1A1A"/>
          <w:sz w:val="18"/>
        </w:rPr>
        <w:t>Contemporary anti-female-circumcision discourse tends to frame the practice primarily as a human-rights violation or a public-health crisis, an approach that has often struggled to explain why the custom persists even where co</w:t>
      </w:r>
      <w:r>
        <w:rPr>
          <w:rFonts w:ascii="Times New Roman" w:hAnsi="Times New Roman" w:cs="Times New Roman"/>
          <w:b w:val="0"/>
          <w:i/>
          <w:color w:val="1A1A1A"/>
          <w:sz w:val="18"/>
        </w:rPr>
        <w:t xml:space="preserve">mmunities are aware of its harms and of its illegality. </w:t>
      </w:r>
      <w:r>
        <w:rPr>
          <w:rFonts w:ascii="Times New Roman" w:hAnsi="Times New Roman" w:cs="Times New Roman"/>
          <w:b w:val="0"/>
          <w:i/>
          <w:color w:val="1A1A1A"/>
          <w:sz w:val="18"/>
        </w:rPr>
        <w:t>This article argues that female circumcision among the Maasai of Tanzania is better understood, at the community level, as a strategic mechanism for accumulating social capital</w:t>
      </w:r>
      <w:r>
        <w:rPr>
          <w:rFonts w:ascii="Times New Roman" w:hAnsi="Times New Roman" w:cs="Times New Roman"/>
          <w:b w:val="0"/>
          <w:i/>
          <w:color w:val="1A1A1A"/>
          <w:sz w:val="18"/>
        </w:rPr>
        <w:t xml:space="preserve">. </w:t>
      </w:r>
      <w:r>
        <w:rPr>
          <w:rFonts w:ascii="Times New Roman" w:hAnsi="Times New Roman" w:cs="Times New Roman"/>
          <w:b w:val="0"/>
          <w:i/>
          <w:color w:val="1A1A1A"/>
          <w:sz w:val="18"/>
        </w:rPr>
        <w:t>It enhances</w:t>
      </w:r>
      <w:r>
        <w:rPr>
          <w:rFonts w:ascii="Times New Roman" w:hAnsi="Times New Roman" w:cs="Times New Roman"/>
          <w:b w:val="0"/>
          <w:i/>
          <w:color w:val="1A1A1A"/>
          <w:sz w:val="18"/>
        </w:rPr>
        <w:t xml:space="preserve"> </w:t>
      </w:r>
      <w:r>
        <w:rPr>
          <w:rFonts w:ascii="Times New Roman" w:hAnsi="Times New Roman" w:cs="Times New Roman"/>
          <w:b w:val="0"/>
          <w:i/>
          <w:color w:val="1A1A1A"/>
          <w:sz w:val="18"/>
        </w:rPr>
        <w:t>network</w:t>
      </w:r>
      <w:r>
        <w:rPr>
          <w:rFonts w:ascii="Times New Roman" w:hAnsi="Times New Roman" w:cs="Times New Roman"/>
          <w:b w:val="0"/>
          <w:i/>
          <w:color w:val="1A1A1A"/>
          <w:sz w:val="18"/>
        </w:rPr>
        <w:t xml:space="preserve">s and </w:t>
      </w:r>
      <w:r>
        <w:rPr>
          <w:rFonts w:ascii="Times New Roman" w:hAnsi="Times New Roman" w:cs="Times New Roman"/>
          <w:b w:val="0"/>
          <w:i/>
          <w:color w:val="1A1A1A"/>
          <w:sz w:val="18"/>
        </w:rPr>
        <w:t xml:space="preserve"> confer status</w:t>
      </w:r>
      <w:r>
        <w:rPr>
          <w:rFonts w:ascii="Times New Roman" w:hAnsi="Times New Roman" w:cs="Times New Roman"/>
          <w:b w:val="0"/>
          <w:i/>
          <w:color w:val="1A1A1A"/>
          <w:sz w:val="18"/>
        </w:rPr>
        <w:t>,</w:t>
      </w:r>
      <w:r>
        <w:rPr>
          <w:rFonts w:ascii="Times New Roman" w:hAnsi="Times New Roman" w:cs="Times New Roman"/>
          <w:b w:val="0"/>
          <w:i/>
          <w:color w:val="1A1A1A"/>
          <w:sz w:val="18"/>
        </w:rPr>
        <w:t xml:space="preserve"> operating through an interlocking system of social rewards, including inclusion, respect, and marriageability, and social punishments, including ostracism, mockery, and exclusion. Applying Social Capital Theory to historical, document</w:t>
      </w:r>
      <w:r>
        <w:rPr>
          <w:rFonts w:ascii="Times New Roman" w:hAnsi="Times New Roman" w:cs="Times New Roman"/>
          <w:b w:val="0"/>
          <w:i/>
          <w:color w:val="1A1A1A"/>
          <w:sz w:val="18"/>
        </w:rPr>
        <w:t>ary, and field evidence from Maasai communities, particularly Siha District in the Kilimanjaro region, the article examines the cultural justifications offered for the practice, its function in preserving chastity and constructing an 'ideal' Maasai womanho</w:t>
      </w:r>
      <w:r>
        <w:rPr>
          <w:rFonts w:ascii="Times New Roman" w:hAnsi="Times New Roman" w:cs="Times New Roman"/>
          <w:b w:val="0"/>
          <w:i/>
          <w:color w:val="1A1A1A"/>
          <w:sz w:val="18"/>
        </w:rPr>
        <w:t>od, its centrality to marriageability and bride-price negotiation, the patriarchal power structures that determine the value of women's social capital, and the vested economic and political interests of circumcisers, elders, and local officials in the prac</w:t>
      </w:r>
      <w:r>
        <w:rPr>
          <w:rFonts w:ascii="Times New Roman" w:hAnsi="Times New Roman" w:cs="Times New Roman"/>
          <w:b w:val="0"/>
          <w:i/>
          <w:color w:val="1A1A1A"/>
          <w:sz w:val="18"/>
        </w:rPr>
        <w:t>tice's continuation. The article concludes that female circumcision functions as a self-enforcing social convention whose persistence is best addressed not through prohibition or health messaging alone, but through interventions that create genuine alterna</w:t>
      </w:r>
      <w:r>
        <w:rPr>
          <w:rFonts w:ascii="Times New Roman" w:hAnsi="Times New Roman" w:cs="Times New Roman"/>
          <w:b w:val="0"/>
          <w:i/>
          <w:color w:val="1A1A1A"/>
          <w:sz w:val="18"/>
        </w:rPr>
        <w:t>tive pathways to the social and economic security that the practice currently provides.</w:t>
      </w:r>
    </w:p>
    <w:p>
      <w:pPr>
        <w:keepNext/>
        <w:keepLines/>
        <w:spacing w:before="200" w:after="60"/>
      </w:pPr>
      <w:r>
        <w:rPr>
          <w:rFonts w:ascii="Times New Roman" w:hAnsi="Times New Roman" w:cs="Times New Roman"/>
          <w:b/>
          <w:i w:val="0"/>
          <w:color w:val="9C0E33"/>
          <w:sz w:val="21"/>
        </w:rPr>
        <w:t>INTRODUCTION</w:t>
      </w:r>
    </w:p>
    <w:p>
      <w:pPr>
        <w:spacing w:after="120" w:line="240" w:lineRule="auto"/>
        <w:jc w:val="both"/>
      </w:pPr>
      <w:r>
        <w:rPr>
          <w:rFonts w:ascii="Times New Roman" w:hAnsi="Times New Roman" w:cs="Times New Roman"/>
          <w:b w:val="0"/>
          <w:i w:val="0"/>
          <w:color w:val="1A1A1A"/>
          <w:sz w:val="20"/>
        </w:rPr>
        <w:t>This article analyses the socio-economic significance of female circumcision in the lives of Maasai women, focusing on the reasons and social instrumen</w:t>
      </w:r>
      <w:r>
        <w:rPr>
          <w:rFonts w:ascii="Times New Roman" w:hAnsi="Times New Roman" w:cs="Times New Roman"/>
          <w:b w:val="0"/>
          <w:i w:val="0"/>
          <w:color w:val="1A1A1A"/>
          <w:sz w:val="20"/>
        </w:rPr>
        <w:t>ts that perpetuate the practice. Where anti-female-circumcision discourse tends to frame the practice as a human-rights violation or a health crisis (Avalos, 2015), this analysis argues that the practice requires socio-economic analysis within the communit</w:t>
      </w:r>
      <w:r>
        <w:rPr>
          <w:rFonts w:ascii="Times New Roman" w:hAnsi="Times New Roman" w:cs="Times New Roman"/>
          <w:b w:val="0"/>
          <w:i w:val="0"/>
          <w:color w:val="1A1A1A"/>
          <w:sz w:val="20"/>
        </w:rPr>
        <w:t xml:space="preserve">ies that sustain it. </w:t>
      </w:r>
      <w:r>
        <w:rPr>
          <w:rFonts w:ascii="Times New Roman" w:hAnsi="Times New Roman" w:cs="Times New Roman"/>
          <w:b w:val="0"/>
          <w:i w:val="0"/>
          <w:color w:val="1A1A1A"/>
          <w:sz w:val="20"/>
        </w:rPr>
        <w:t>UNICEF has observed that the practice is administered by a system of community rewards and punishments that makes it difficult for individual families to abandon it unilaterally (UNICEF, 2020</w:t>
      </w:r>
      <w:r>
        <w:rPr>
          <w:rFonts w:ascii="Times New Roman" w:hAnsi="Times New Roman" w:cs="Times New Roman"/>
          <w:b w:val="0"/>
          <w:i w:val="0"/>
          <w:color w:val="1A1A1A"/>
          <w:sz w:val="20"/>
        </w:rPr>
        <w:t xml:space="preserve"> &amp;2022</w:t>
      </w:r>
      <w:r>
        <w:rPr>
          <w:rFonts w:ascii="Times New Roman" w:hAnsi="Times New Roman" w:cs="Times New Roman"/>
          <w:b w:val="0"/>
          <w:i w:val="0"/>
          <w:color w:val="1A1A1A"/>
          <w:sz w:val="20"/>
        </w:rPr>
        <w:t>): the system of social rewards includ</w:t>
      </w:r>
      <w:r>
        <w:rPr>
          <w:rFonts w:ascii="Times New Roman" w:hAnsi="Times New Roman" w:cs="Times New Roman"/>
          <w:b w:val="0"/>
          <w:i w:val="0"/>
          <w:color w:val="1A1A1A"/>
          <w:sz w:val="20"/>
        </w:rPr>
        <w:t>es inclusion, respect, and marriageability, while punishments include ostracism, mockery, and exclusion, together functioning as a form of capital that secures a woman's place within her community (</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 xml:space="preserve">Doucet et al. (2022) </w:t>
      </w:r>
      <w:r>
        <w:rPr>
          <w:rFonts w:ascii="Times New Roman" w:hAnsi="Times New Roman" w:cs="Times New Roman"/>
          <w:b w:val="0"/>
          <w:i w:val="0"/>
          <w:color w:val="1A1A1A"/>
          <w:sz w:val="20"/>
        </w:rPr>
        <w:t>)</w:t>
      </w:r>
      <w:r>
        <w:rPr>
          <w:rFonts w:ascii="Times New Roman" w:hAnsi="Times New Roman" w:cs="Times New Roman"/>
          <w:b w:val="0"/>
          <w:i w:val="0"/>
          <w:color w:val="1A1A1A"/>
          <w:sz w:val="20"/>
        </w:rPr>
        <w:t>.</w:t>
      </w:r>
    </w:p>
    <w:p>
      <w:pPr>
        <w:spacing w:after="120" w:line="240" w:lineRule="auto"/>
        <w:jc w:val="both"/>
      </w:pPr>
      <w:r>
        <w:rPr>
          <w:rFonts w:ascii="Times New Roman" w:hAnsi="Times New Roman" w:cs="Times New Roman"/>
          <w:b w:val="0"/>
          <w:i w:val="0"/>
          <w:color w:val="1A1A1A"/>
          <w:sz w:val="20"/>
        </w:rPr>
        <w:t>Social Capital Theory, as articul</w:t>
      </w:r>
      <w:r>
        <w:rPr>
          <w:rFonts w:ascii="Times New Roman" w:hAnsi="Times New Roman" w:cs="Times New Roman"/>
          <w:b w:val="0"/>
          <w:i w:val="0"/>
          <w:color w:val="1A1A1A"/>
          <w:sz w:val="20"/>
        </w:rPr>
        <w:t>ated in the literature on female genital cutting (Decatur, 2024; Shell-Duncan et al., 2001), holds that the practice among the Maasai can be understood as a strategic mechanism for accumulating social capital—the networks, norms, and trust that enable coll</w:t>
      </w:r>
      <w:r>
        <w:rPr>
          <w:rFonts w:ascii="Times New Roman" w:hAnsi="Times New Roman" w:cs="Times New Roman"/>
          <w:b w:val="0"/>
          <w:i w:val="0"/>
          <w:color w:val="1A1A1A"/>
          <w:sz w:val="20"/>
        </w:rPr>
        <w:t xml:space="preserve">ective action and confer status within a community (Bourdieu, 1986; Coleman, 1988). The practice serves a tangible social function, conferring symbolic capital through hygiene and aesthetic norms and reinforcing patriarchal power structures that determine </w:t>
      </w:r>
      <w:r>
        <w:rPr>
          <w:rFonts w:ascii="Times New Roman" w:hAnsi="Times New Roman" w:cs="Times New Roman"/>
          <w:b w:val="0"/>
          <w:i w:val="0"/>
          <w:color w:val="1A1A1A"/>
          <w:sz w:val="20"/>
        </w:rPr>
        <w:t>the value of women's social capital (Esho et al., 2013). This article, drawn from a wider doctoral study of the socio-economic effects of female circumcision among the Maasai of Siha District, examines how the economic interests of circumcisers and the pol</w:t>
      </w:r>
      <w:r>
        <w:rPr>
          <w:rFonts w:ascii="Times New Roman" w:hAnsi="Times New Roman" w:cs="Times New Roman"/>
          <w:b w:val="0"/>
          <w:i w:val="0"/>
          <w:color w:val="1A1A1A"/>
          <w:sz w:val="20"/>
        </w:rPr>
        <w:t>itical power of elders create vested stakeholders in the practice's continuation (Friedrich Naumann Foundation, 2025b), proceeding through a review of relevant literature, an outline of the study's methodology, and an extended discussion of cultural justif</w:t>
      </w:r>
      <w:r>
        <w:rPr>
          <w:rFonts w:ascii="Times New Roman" w:hAnsi="Times New Roman" w:cs="Times New Roman"/>
          <w:b w:val="0"/>
          <w:i w:val="0"/>
          <w:color w:val="1A1A1A"/>
          <w:sz w:val="20"/>
        </w:rPr>
        <w:t>ication, the chastity function, marriageability, patriarchy, and the political economy that perpetuate the practice at the community level.</w:t>
      </w:r>
    </w:p>
    <w:p>
      <w:pPr>
        <w:keepNext/>
        <w:keepLines/>
        <w:spacing w:before="200" w:after="60"/>
      </w:pPr>
      <w:r>
        <w:rPr>
          <w:rFonts w:ascii="Times New Roman" w:hAnsi="Times New Roman" w:cs="Times New Roman"/>
          <w:b/>
          <w:i w:val="0"/>
          <w:color w:val="9C0E33"/>
          <w:sz w:val="21"/>
        </w:rPr>
        <w:t>LITERATURE REVIEW</w:t>
      </w:r>
    </w:p>
    <w:p>
      <w:pPr>
        <w:spacing w:after="120" w:line="240" w:lineRule="auto"/>
        <w:jc w:val="both"/>
      </w:pPr>
      <w:r>
        <w:rPr>
          <w:rFonts w:ascii="Times New Roman" w:hAnsi="Times New Roman" w:cs="Times New Roman"/>
          <w:b w:val="0"/>
          <w:i w:val="0"/>
          <w:color w:val="1A1A1A"/>
          <w:sz w:val="20"/>
        </w:rPr>
        <w:t>Cultural loyalty, traditional belief, and social expectation are central to the persistence of</w:t>
      </w:r>
      <w:r>
        <w:rPr>
          <w:rFonts w:ascii="Times New Roman" w:hAnsi="Times New Roman" w:cs="Times New Roman"/>
          <w:b w:val="0"/>
          <w:i w:val="0"/>
          <w:color w:val="1A1A1A"/>
          <w:sz w:val="20"/>
        </w:rPr>
        <w:t xml:space="preserve"> female circumcision among Maasai women (Talle, 1994; Esho et al., 2013), and the existing literature identifies these as operating through mechanisms closely resembling the accumulation and loss of social capital, even where earlier studies did not use th</w:t>
      </w:r>
      <w:r>
        <w:rPr>
          <w:rFonts w:ascii="Times New Roman" w:hAnsi="Times New Roman" w:cs="Times New Roman"/>
          <w:b w:val="0"/>
          <w:i w:val="0"/>
          <w:color w:val="1A1A1A"/>
          <w:sz w:val="20"/>
        </w:rPr>
        <w:t>at specific theoretical vocabulary (Shell-Duncan et al., 2001). Female circumcision has profound socio-economic consequences for Maasai women, shaping their health, education, economic opportunity, and social mobility; while numerous scholars have document</w:t>
      </w:r>
      <w:r>
        <w:rPr>
          <w:rFonts w:ascii="Times New Roman" w:hAnsi="Times New Roman" w:cs="Times New Roman"/>
          <w:b w:val="0"/>
          <w:i w:val="0"/>
          <w:color w:val="1A1A1A"/>
          <w:sz w:val="20"/>
        </w:rPr>
        <w:t>ed the negative effects of the practice (Wagner, 2015; Johansen et al., 2018), gaps remain in understanding how individual Maasai women navigate these consequences and how evolving cultural norms shape their lived experience over time (van Bavel et al., 20</w:t>
      </w:r>
      <w:r>
        <w:rPr>
          <w:rFonts w:ascii="Times New Roman" w:hAnsi="Times New Roman" w:cs="Times New Roman"/>
          <w:b w:val="0"/>
          <w:i w:val="0"/>
          <w:color w:val="1A1A1A"/>
          <w:sz w:val="20"/>
        </w:rPr>
        <w:t>18).</w:t>
      </w:r>
    </w:p>
    <w:p>
      <w:pPr>
        <w:spacing w:after="120" w:line="240" w:lineRule="auto"/>
        <w:jc w:val="both"/>
      </w:pPr>
      <w:r>
        <w:rPr>
          <w:rFonts w:ascii="Times New Roman" w:hAnsi="Times New Roman" w:cs="Times New Roman"/>
          <w:b w:val="0"/>
          <w:i w:val="0"/>
          <w:color w:val="1A1A1A"/>
          <w:sz w:val="20"/>
        </w:rPr>
        <w:t>The immediate and long-term health consequences of the practice are well documented in the regional literature, including excessive bleeding, severe pain, infection, and complications during childbirth (Wagner, 2015), with studies in West Africa repor</w:t>
      </w:r>
      <w:r>
        <w:rPr>
          <w:rFonts w:ascii="Times New Roman" w:hAnsi="Times New Roman" w:cs="Times New Roman"/>
          <w:b w:val="0"/>
          <w:i w:val="0"/>
          <w:color w:val="1A1A1A"/>
          <w:sz w:val="20"/>
        </w:rPr>
        <w:t>ting a significantly elevated risk of obstetric complications, including prolonged labour and fistula formation (Kaplan et al., 2013), and comparable studies in East Africa reporting severe psychological sequelae including depression, anxiety, and post-tra</w:t>
      </w:r>
      <w:r>
        <w:rPr>
          <w:rFonts w:ascii="Times New Roman" w:hAnsi="Times New Roman" w:cs="Times New Roman"/>
          <w:b w:val="0"/>
          <w:i w:val="0"/>
          <w:color w:val="1A1A1A"/>
          <w:sz w:val="20"/>
        </w:rPr>
        <w:t>umatic stress (Johansen et al., 2018). This literature, however, has tended not to examine how Maasai women in Tanzania specifically access medical care or navigate healthcare systems after undergoing the procedure, nor how far cultural belief shapes healt</w:t>
      </w:r>
      <w:r>
        <w:rPr>
          <w:rFonts w:ascii="Times New Roman" w:hAnsi="Times New Roman" w:cs="Times New Roman"/>
          <w:b w:val="0"/>
          <w:i w:val="0"/>
          <w:color w:val="1A1A1A"/>
          <w:sz w:val="20"/>
        </w:rPr>
        <w:t>h-seeking behaviour in this particular context (Decatur, 2024)—a gap the present analysis addresses through its socio-economic, rather than purely clinical, framing.</w:t>
      </w:r>
    </w:p>
    <w:p>
      <w:pPr>
        <w:spacing w:after="120" w:line="240" w:lineRule="auto"/>
        <w:jc w:val="both"/>
      </w:pPr>
      <w:r>
        <w:rPr>
          <w:rFonts w:ascii="Times New Roman" w:hAnsi="Times New Roman" w:cs="Times New Roman"/>
          <w:b w:val="0"/>
          <w:i w:val="0"/>
          <w:color w:val="1A1A1A"/>
          <w:sz w:val="20"/>
        </w:rPr>
        <w:t>Female circumcision is closely linked in the literature to early marriage and school dropo</w:t>
      </w:r>
      <w:r>
        <w:rPr>
          <w:rFonts w:ascii="Times New Roman" w:hAnsi="Times New Roman" w:cs="Times New Roman"/>
          <w:b w:val="0"/>
          <w:i w:val="0"/>
          <w:color w:val="1A1A1A"/>
          <w:sz w:val="20"/>
        </w:rPr>
        <w:t>ut, since circumcised girls are widely considered ready for marriage and motherhood immediately upon completion of the procedure (Esho et al., 2013; Gruenbaum, 2001); comparative studies elsewhere in Africa indicate that economic dependency on men reinforc</w:t>
      </w:r>
      <w:r>
        <w:rPr>
          <w:rFonts w:ascii="Times New Roman" w:hAnsi="Times New Roman" w:cs="Times New Roman"/>
          <w:b w:val="0"/>
          <w:i w:val="0"/>
          <w:color w:val="1A1A1A"/>
          <w:sz w:val="20"/>
        </w:rPr>
        <w:t xml:space="preserve">es the practice, since circumcised women are more likely to be married and thereby financially supported (Ahmadu, 1995), and that economic vulnerability more broadly pushes families toward continuing the practice because it increases a daughter's marriage </w:t>
      </w:r>
      <w:r>
        <w:rPr>
          <w:rFonts w:ascii="Times New Roman" w:hAnsi="Times New Roman" w:cs="Times New Roman"/>
          <w:b w:val="0"/>
          <w:i w:val="0"/>
          <w:color w:val="1A1A1A"/>
          <w:sz w:val="20"/>
        </w:rPr>
        <w:t>prospects and thereby reduces the financial burden upon the household (Ezenwanebe, 2019). Encouragingly, the literature also documents that economic-empowerment initiatives, including microfinance programmes, have shown promise in reducing prevalence by en</w:t>
      </w:r>
      <w:r>
        <w:rPr>
          <w:rFonts w:ascii="Times New Roman" w:hAnsi="Times New Roman" w:cs="Times New Roman"/>
          <w:b w:val="0"/>
          <w:i w:val="0"/>
          <w:color w:val="1A1A1A"/>
          <w:sz w:val="20"/>
        </w:rPr>
        <w:t xml:space="preserve">abling women to achieve financial independence and thereby reducing their reliance on circumcision as a route to marital and economic security (Friedrich Naumann </w:t>
      </w:r>
      <w:r>
        <w:rPr>
          <w:rFonts w:ascii="Times New Roman" w:hAnsi="Times New Roman" w:cs="Times New Roman"/>
          <w:b w:val="0"/>
          <w:i w:val="0"/>
          <w:color w:val="1A1A1A"/>
          <w:sz w:val="20"/>
        </w:rPr>
        <w:t>Foundation, 2022); however, comparatively few of these studies examine the specific link betwe</w:t>
      </w:r>
      <w:r>
        <w:rPr>
          <w:rFonts w:ascii="Times New Roman" w:hAnsi="Times New Roman" w:cs="Times New Roman"/>
          <w:b w:val="0"/>
          <w:i w:val="0"/>
          <w:color w:val="1A1A1A"/>
          <w:sz w:val="20"/>
        </w:rPr>
        <w:t>en economic constraint and circumcision decision-making among the Maasai of Tanzania, a gap this article addresses directly through its focus on Siha District.</w:t>
      </w:r>
    </w:p>
    <w:p>
      <w:pPr>
        <w:spacing w:after="120" w:line="240" w:lineRule="auto"/>
        <w:jc w:val="both"/>
      </w:pPr>
      <w:r>
        <w:rPr>
          <w:rFonts w:ascii="Times New Roman" w:hAnsi="Times New Roman" w:cs="Times New Roman"/>
          <w:b w:val="0"/>
          <w:i w:val="0"/>
          <w:color w:val="1A1A1A"/>
          <w:sz w:val="20"/>
        </w:rPr>
        <w:t>Despite its harmful effects, the literature confirms that female circumcision remains, empirical</w:t>
      </w:r>
      <w:r>
        <w:rPr>
          <w:rFonts w:ascii="Times New Roman" w:hAnsi="Times New Roman" w:cs="Times New Roman"/>
          <w:b w:val="0"/>
          <w:i w:val="0"/>
          <w:color w:val="1A1A1A"/>
          <w:sz w:val="20"/>
        </w:rPr>
        <w:t>ly, a marker of social acceptance among the Maasai: women who undergo the practice are documented as gaining respect and higher social status (Esho et al., 2013), while those who refuse are frequently stigmatised, isolated, and considered unworthy of marri</w:t>
      </w:r>
      <w:r>
        <w:rPr>
          <w:rFonts w:ascii="Times New Roman" w:hAnsi="Times New Roman" w:cs="Times New Roman"/>
          <w:b w:val="0"/>
          <w:i w:val="0"/>
          <w:color w:val="1A1A1A"/>
          <w:sz w:val="20"/>
        </w:rPr>
        <w:t>age (Refaei et al., 2016; Talle, 1994). Some scholars argue that certain women themselves regard the practice as a source of empowerment, signifying cultural maturity and social inclusion (Ahmadu, 1995), while others emphasise that social exclusion functio</w:t>
      </w:r>
      <w:r>
        <w:rPr>
          <w:rFonts w:ascii="Times New Roman" w:hAnsi="Times New Roman" w:cs="Times New Roman"/>
          <w:b w:val="0"/>
          <w:i w:val="0"/>
          <w:color w:val="1A1A1A"/>
          <w:sz w:val="20"/>
        </w:rPr>
        <w:t xml:space="preserve">ns as a powerful coercive force, such that fear of rejection outweighs personal preference for a great many women and girls (Shell-Duncan et al., 2001). There remains, however, a gap in the literature regarding how Maasai women specifically navigate these </w:t>
      </w:r>
      <w:r>
        <w:rPr>
          <w:rFonts w:ascii="Times New Roman" w:hAnsi="Times New Roman" w:cs="Times New Roman"/>
          <w:b w:val="0"/>
          <w:i w:val="0"/>
          <w:color w:val="1A1A1A"/>
          <w:sz w:val="20"/>
        </w:rPr>
        <w:t>social expectations while resisting or embracing the practice, and in how far cultural shifts among educated Maasai youth are altering traditional gender norms (van Bavel et al., 2018)—a gap this article's Social Capital Theory framework is intended to hel</w:t>
      </w:r>
      <w:r>
        <w:rPr>
          <w:rFonts w:ascii="Times New Roman" w:hAnsi="Times New Roman" w:cs="Times New Roman"/>
          <w:b w:val="0"/>
          <w:i w:val="0"/>
          <w:color w:val="1A1A1A"/>
          <w:sz w:val="20"/>
        </w:rPr>
        <w:t>p close by making explicit the reward-and-sanction structure that earlier, more descriptive accounts have documented without fully theorising.</w:t>
      </w:r>
    </w:p>
    <w:p>
      <w:pPr>
        <w:keepNext/>
        <w:keepLines/>
        <w:spacing w:before="200" w:after="60"/>
      </w:pPr>
      <w:r>
        <w:rPr>
          <w:rFonts w:ascii="Times New Roman" w:hAnsi="Times New Roman" w:cs="Times New Roman"/>
          <w:b/>
          <w:i w:val="0"/>
          <w:color w:val="9C0E33"/>
          <w:sz w:val="21"/>
        </w:rPr>
        <w:t>METHODOLOGY</w:t>
      </w:r>
    </w:p>
    <w:p>
      <w:pPr>
        <w:spacing w:after="120" w:line="240" w:lineRule="auto"/>
        <w:jc w:val="both"/>
      </w:pPr>
      <w:r>
        <w:rPr>
          <w:rFonts w:ascii="Times New Roman" w:hAnsi="Times New Roman" w:cs="Times New Roman"/>
          <w:b w:val="0"/>
          <w:i w:val="0"/>
          <w:color w:val="1A1A1A"/>
          <w:sz w:val="20"/>
        </w:rPr>
        <w:t>This article draws on the methodology of the parent doctoral study, which employed a qualitative,</w:t>
      </w:r>
      <w:r>
        <w:rPr>
          <w:rFonts w:ascii="Times New Roman" w:hAnsi="Times New Roman" w:cs="Times New Roman"/>
          <w:b w:val="0"/>
          <w:i w:val="0"/>
          <w:color w:val="1A1A1A"/>
          <w:sz w:val="20"/>
        </w:rPr>
        <w:t xml:space="preserve"> phenomenological research design suited to capturing the lived meaning that circumcised and uncircumcised Maasai women, and the community actors around them, attach to the practice (Creswell &amp; Poth, 2018). The qualitative approach was considered particula</w:t>
      </w:r>
      <w:r>
        <w:rPr>
          <w:rFonts w:ascii="Times New Roman" w:hAnsi="Times New Roman" w:cs="Times New Roman"/>
          <w:b w:val="0"/>
          <w:i w:val="0"/>
          <w:color w:val="1A1A1A"/>
          <w:sz w:val="20"/>
        </w:rPr>
        <w:t>rly well suited to uncovering the social meanings and cultural beliefs that sustain female circumcision across generations (Merriam &amp; Tisdell, 2016), and to identifying, inductively, the reward-and-sanction dynamics that this article subsequently interpret</w:t>
      </w:r>
      <w:r>
        <w:rPr>
          <w:rFonts w:ascii="Times New Roman" w:hAnsi="Times New Roman" w:cs="Times New Roman"/>
          <w:b w:val="0"/>
          <w:i w:val="0"/>
          <w:color w:val="1A1A1A"/>
          <w:sz w:val="20"/>
        </w:rPr>
        <w:t>s through Social Capital Theory.</w:t>
      </w:r>
    </w:p>
    <w:p>
      <w:pPr>
        <w:spacing w:after="120" w:line="240" w:lineRule="auto"/>
        <w:jc w:val="both"/>
      </w:pPr>
      <w:r>
        <w:rPr>
          <w:rFonts w:ascii="Times New Roman" w:hAnsi="Times New Roman" w:cs="Times New Roman"/>
          <w:b w:val="0"/>
          <w:i w:val="0"/>
          <w:color w:val="1A1A1A"/>
          <w:sz w:val="20"/>
        </w:rPr>
        <w:t>Fieldwork was conducted in Siha District, Kilimanjaro Region, Tanzania, selected for its high prevalence of female circumcision despite national and international elimination campaigns and for the presence of active advocac</w:t>
      </w:r>
      <w:r>
        <w:rPr>
          <w:rFonts w:ascii="Times New Roman" w:hAnsi="Times New Roman" w:cs="Times New Roman"/>
          <w:b w:val="0"/>
          <w:i w:val="0"/>
          <w:color w:val="1A1A1A"/>
          <w:sz w:val="20"/>
        </w:rPr>
        <w:t>y groups and alternative rites-of-passage programmes (Friedrich Naumann Foundation, 2025b), which permitted assessment of intervention effectiveness alongside documentation of the practice itself. A purposively selected target population of approximately f</w:t>
      </w:r>
      <w:r>
        <w:rPr>
          <w:rFonts w:ascii="Times New Roman" w:hAnsi="Times New Roman" w:cs="Times New Roman"/>
          <w:b w:val="0"/>
          <w:i w:val="0"/>
          <w:color w:val="1A1A1A"/>
          <w:sz w:val="20"/>
        </w:rPr>
        <w:t>ifty participants was drawn upon (Patton, 2015), comprising fifteen circumcised women of varying ages, five uncircumcised women, ten community elders (male and female), five traditional cutters (ngariba), five morans, five local government or ward official</w:t>
      </w:r>
      <w:r>
        <w:rPr>
          <w:rFonts w:ascii="Times New Roman" w:hAnsi="Times New Roman" w:cs="Times New Roman"/>
          <w:b w:val="0"/>
          <w:i w:val="0"/>
          <w:color w:val="1A1A1A"/>
          <w:sz w:val="20"/>
        </w:rPr>
        <w:t>s, and five NGO or advocacy workers; snowball sampling supplemented purposive selection to reach individuals reluctant to discuss personal experience of the practice openly (Noy, 2008), with referrals used to build the trust necessary to access this sensit</w:t>
      </w:r>
      <w:r>
        <w:rPr>
          <w:rFonts w:ascii="Times New Roman" w:hAnsi="Times New Roman" w:cs="Times New Roman"/>
          <w:b w:val="0"/>
          <w:i w:val="0"/>
          <w:color w:val="1A1A1A"/>
          <w:sz w:val="20"/>
        </w:rPr>
        <w:t>ive population.</w:t>
      </w:r>
    </w:p>
    <w:p>
      <w:pPr>
        <w:spacing w:after="120" w:line="240" w:lineRule="auto"/>
        <w:jc w:val="both"/>
      </w:pPr>
      <w:r>
        <w:rPr>
          <w:rFonts w:ascii="Times New Roman" w:hAnsi="Times New Roman" w:cs="Times New Roman"/>
          <w:b w:val="0"/>
          <w:i w:val="0"/>
          <w:color w:val="1A1A1A"/>
          <w:sz w:val="20"/>
        </w:rPr>
        <w:t>Data were collected through three complementary instruments: semi-structured individual interviews exploring personal experience and perception of the practice (Kvale &amp; Brinkmann, 2009); focus group discussions of six to ten participants, u</w:t>
      </w:r>
      <w:r>
        <w:rPr>
          <w:rFonts w:ascii="Times New Roman" w:hAnsi="Times New Roman" w:cs="Times New Roman"/>
          <w:b w:val="0"/>
          <w:i w:val="0"/>
          <w:color w:val="1A1A1A"/>
          <w:sz w:val="20"/>
        </w:rPr>
        <w:t>sed to surface community-wide attitudes and collective norms (Krueger &amp; Casey, 2015); and document analysis of policy reports, government legislation, and prior research, including material from the World Health Organization, UNICEF, and UNFPA (Bowen, 2009</w:t>
      </w:r>
      <w:r>
        <w:rPr>
          <w:rFonts w:ascii="Times New Roman" w:hAnsi="Times New Roman" w:cs="Times New Roman"/>
          <w:b w:val="0"/>
          <w:i w:val="0"/>
          <w:color w:val="1A1A1A"/>
          <w:sz w:val="20"/>
        </w:rPr>
        <w:t>), used to triangulate interview and focus-group findings against the wider policy and legal context. Instruments were piloted in a comparable Maasai community prior to main data collection and refined accordingly; interviews and focus groups were conducte</w:t>
      </w:r>
      <w:r>
        <w:rPr>
          <w:rFonts w:ascii="Times New Roman" w:hAnsi="Times New Roman" w:cs="Times New Roman"/>
          <w:b w:val="0"/>
          <w:i w:val="0"/>
          <w:color w:val="1A1A1A"/>
          <w:sz w:val="20"/>
        </w:rPr>
        <w:t xml:space="preserve">d in Swahili or Maa according to participant preference, audio-recorded with </w:t>
      </w:r>
      <w:r>
        <w:rPr>
          <w:rFonts w:ascii="Times New Roman" w:hAnsi="Times New Roman" w:cs="Times New Roman"/>
          <w:b w:val="0"/>
          <w:i w:val="0"/>
          <w:color w:val="1A1A1A"/>
          <w:sz w:val="20"/>
        </w:rPr>
        <w:t>consent, transcribed verbatim, and analysed thematically using NVivo software (Braun &amp; Clarke, 2006), with an inter-coder reliability check conducted on a subset of transcripts. E</w:t>
      </w:r>
      <w:r>
        <w:rPr>
          <w:rFonts w:ascii="Times New Roman" w:hAnsi="Times New Roman" w:cs="Times New Roman"/>
          <w:b w:val="0"/>
          <w:i w:val="0"/>
          <w:color w:val="1A1A1A"/>
          <w:sz w:val="20"/>
        </w:rPr>
        <w:t>thical clearance was obtained from the Catholic University of Eastern Africa Postgraduate Research Office and a research permit from Tanzania's National Commission for Science, Technology, and Innovation; informed consent, and assent from participants belo</w:t>
      </w:r>
      <w:r>
        <w:rPr>
          <w:rFonts w:ascii="Times New Roman" w:hAnsi="Times New Roman" w:cs="Times New Roman"/>
          <w:b w:val="0"/>
          <w:i w:val="0"/>
          <w:color w:val="1A1A1A"/>
          <w:sz w:val="20"/>
        </w:rPr>
        <w:t>w eighteen years of age, was obtained throughout (World Medical Association, 2013), with pseudonyms used to protect participant identity and with particular attention to cultural sensitivity given the personal and intimate nature of the subject matter.</w:t>
      </w:r>
    </w:p>
    <w:p>
      <w:pPr>
        <w:keepNext/>
        <w:keepLines/>
        <w:spacing w:before="200" w:after="60"/>
      </w:pPr>
      <w:r>
        <w:rPr>
          <w:rFonts w:ascii="Times New Roman" w:hAnsi="Times New Roman" w:cs="Times New Roman"/>
          <w:b/>
          <w:i w:val="0"/>
          <w:color w:val="9C0E33"/>
          <w:sz w:val="21"/>
        </w:rPr>
        <w:t>DISCUSSION OF FINDINGS</w:t>
      </w:r>
    </w:p>
    <w:p>
      <w:pPr>
        <w:keepNext/>
        <w:keepLines/>
        <w:spacing w:before="160" w:after="60"/>
      </w:pPr>
      <w:r>
        <w:rPr>
          <w:rFonts w:ascii="Times New Roman" w:hAnsi="Times New Roman" w:cs="Times New Roman"/>
          <w:b/>
          <w:i w:val="0"/>
          <w:color w:val="9C0E33"/>
          <w:sz w:val="20"/>
        </w:rPr>
        <w:t>Cultural Justification and the Logic of Initiation</w:t>
      </w:r>
    </w:p>
    <w:p>
      <w:pPr>
        <w:spacing w:after="120" w:line="240" w:lineRule="auto"/>
        <w:jc w:val="both"/>
      </w:pPr>
      <w:r>
        <w:rPr>
          <w:rFonts w:ascii="Times New Roman" w:hAnsi="Times New Roman" w:cs="Times New Roman"/>
          <w:b w:val="0"/>
          <w:i w:val="0"/>
          <w:color w:val="1A1A1A"/>
          <w:sz w:val="20"/>
        </w:rPr>
        <w:t>The majority of supporters of female circumcision explain the practice as customary, as part of tradition (Esho et al., 2013; Talle, 1994). Maasai communities have constructed e</w:t>
      </w:r>
      <w:r>
        <w:rPr>
          <w:rFonts w:ascii="Times New Roman" w:hAnsi="Times New Roman" w:cs="Times New Roman"/>
          <w:b w:val="0"/>
          <w:i w:val="0"/>
          <w:color w:val="1A1A1A"/>
          <w:sz w:val="20"/>
        </w:rPr>
        <w:t>laborate initiation rituals using circumcision and its accompanying rites as a means to welcome girls into womanhood and to confer social acceptance and a sense of belonging (Ahmadu, 1995). Social sanctions reinforce these rituals in everyday life: an uncu</w:t>
      </w:r>
      <w:r>
        <w:rPr>
          <w:rFonts w:ascii="Times New Roman" w:hAnsi="Times New Roman" w:cs="Times New Roman"/>
          <w:b w:val="0"/>
          <w:i w:val="0"/>
          <w:color w:val="1A1A1A"/>
          <w:sz w:val="20"/>
        </w:rPr>
        <w:t xml:space="preserve">t girl may not be permitted to serve tea or prepare food, on the grounds that she is unclean, and may be teased or ostracised by circumcised peers </w:t>
      </w:r>
      <w:r>
        <w:rPr>
          <w:rFonts w:ascii="Times New Roman" w:hAnsi="Times New Roman" w:cs="Times New Roman"/>
          <w:b w:val="0"/>
          <w:i w:val="0"/>
          <w:color w:val="1A1A1A"/>
          <w:sz w:val="20"/>
        </w:rPr>
        <w:t>(</w:t>
      </w:r>
      <w:r>
        <w:rPr>
          <w:rFonts w:ascii="Times New Roman" w:hAnsi="Times New Roman" w:cs="Times New Roman"/>
          <w:b w:val="0"/>
          <w:i w:val="0"/>
          <w:color w:val="1A1A1A"/>
          <w:sz w:val="20"/>
        </w:rPr>
        <w:t xml:space="preserve">Nebulu, O.I, </w:t>
      </w:r>
      <w:r>
        <w:rPr>
          <w:rFonts w:ascii="Times New Roman" w:hAnsi="Times New Roman" w:cs="Times New Roman"/>
          <w:b w:val="0"/>
          <w:i w:val="0"/>
          <w:color w:val="1A1A1A"/>
          <w:sz w:val="20"/>
        </w:rPr>
        <w:t>2026)</w:t>
      </w:r>
      <w:r>
        <w:rPr>
          <w:rFonts w:ascii="Times New Roman" w:hAnsi="Times New Roman" w:cs="Times New Roman"/>
          <w:b w:val="0"/>
          <w:i w:val="0"/>
          <w:color w:val="1A1A1A"/>
          <w:sz w:val="20"/>
        </w:rPr>
        <w:t xml:space="preserve">). Whatever the immediate context, the procedure is understood by its practitioners as </w:t>
      </w:r>
      <w:r>
        <w:rPr>
          <w:rFonts w:ascii="Times New Roman" w:hAnsi="Times New Roman" w:cs="Times New Roman"/>
          <w:b w:val="0"/>
          <w:i w:val="0"/>
          <w:color w:val="1A1A1A"/>
          <w:sz w:val="20"/>
        </w:rPr>
        <w:t>initially painful but ultimately transformative—girls are reassured that they have been brave and are now pure, worthy, and beautiful (Shell-Duncan et al., 2001), and through this affirmation cut girls are documented as developing a sense of pride and soci</w:t>
      </w:r>
      <w:r>
        <w:rPr>
          <w:rFonts w:ascii="Times New Roman" w:hAnsi="Times New Roman" w:cs="Times New Roman"/>
          <w:b w:val="0"/>
          <w:i w:val="0"/>
          <w:color w:val="1A1A1A"/>
          <w:sz w:val="20"/>
        </w:rPr>
        <w:t>al acceptance, while mothers and grandmothers gain respect for having discharged their duty of fostering an 'ideal' young woman (</w:t>
      </w:r>
      <w:r>
        <w:rPr>
          <w:rFonts w:ascii="Times New Roman" w:hAnsi="Times New Roman" w:cs="Times New Roman"/>
          <w:b w:val="0"/>
          <w:i w:val="0"/>
          <w:color w:val="1A1A1A"/>
          <w:sz w:val="20"/>
        </w:rPr>
        <w:t>Meseyeki,O.I,</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2026).</w:t>
      </w:r>
    </w:p>
    <w:p>
      <w:pPr>
        <w:spacing w:after="120" w:line="240" w:lineRule="auto"/>
        <w:jc w:val="both"/>
      </w:pPr>
      <w:r>
        <w:rPr>
          <w:rFonts w:ascii="Times New Roman" w:hAnsi="Times New Roman" w:cs="Times New Roman"/>
          <w:b w:val="0"/>
          <w:i w:val="0"/>
          <w:color w:val="1A1A1A"/>
          <w:sz w:val="20"/>
        </w:rPr>
        <w:t>Among the Maasai of Siha District, the practice is known as Emuratare, historically involving the removal o</w:t>
      </w:r>
      <w:r>
        <w:rPr>
          <w:rFonts w:ascii="Times New Roman" w:hAnsi="Times New Roman" w:cs="Times New Roman"/>
          <w:b w:val="0"/>
          <w:i w:val="0"/>
          <w:color w:val="1A1A1A"/>
          <w:sz w:val="20"/>
        </w:rPr>
        <w:t xml:space="preserve">f part or all of the clitoris and the cutting of the labia, traditionally performed by older women known as </w:t>
      </w:r>
      <w:r>
        <w:rPr>
          <w:rFonts w:ascii="Times New Roman" w:hAnsi="Times New Roman" w:cs="Times New Roman"/>
          <w:b w:val="0"/>
          <w:i/>
          <w:color w:val="1A1A1A"/>
          <w:sz w:val="20"/>
        </w:rPr>
        <w:t>engamuratani</w:t>
      </w:r>
      <w:r>
        <w:rPr>
          <w:rFonts w:ascii="Times New Roman" w:hAnsi="Times New Roman" w:cs="Times New Roman"/>
          <w:b w:val="0"/>
          <w:i/>
          <w:color w:val="1A1A1A"/>
          <w:sz w:val="20"/>
        </w:rPr>
        <w:t xml:space="preserve"> </w:t>
      </w:r>
      <w:r>
        <w:rPr>
          <w:rFonts w:ascii="Times New Roman" w:hAnsi="Times New Roman" w:cs="Times New Roman"/>
          <w:b w:val="0"/>
          <w:i w:val="0"/>
          <w:color w:val="1A1A1A"/>
          <w:sz w:val="20"/>
        </w:rPr>
        <w:t>using unsterilised instruments and without anaesthesia (van Bavel et al., 2018). The social meaning attached to the procedure has been</w:t>
      </w:r>
      <w:r>
        <w:rPr>
          <w:rFonts w:ascii="Times New Roman" w:hAnsi="Times New Roman" w:cs="Times New Roman"/>
          <w:b w:val="0"/>
          <w:i w:val="0"/>
          <w:color w:val="1A1A1A"/>
          <w:sz w:val="20"/>
        </w:rPr>
        <w:t xml:space="preserve"> inseparable from Maasai conceptions of womanhood: an uncircumcised woman has historically been construed as infertile and incapable of bearing healthy children, with the womb regarded as the source of life requiring ritual preparation through cutting (Tal</w:t>
      </w:r>
      <w:r>
        <w:rPr>
          <w:rFonts w:ascii="Times New Roman" w:hAnsi="Times New Roman" w:cs="Times New Roman"/>
          <w:b w:val="0"/>
          <w:i w:val="0"/>
          <w:color w:val="1A1A1A"/>
          <w:sz w:val="20"/>
        </w:rPr>
        <w:t>le, 1994). More broadly, the practice has functioned as the critical rite of passage marking the transition from ndito (girl) to yeyo (woman), without which a female would be perpetually excluded from adult status and unable to marry (</w:t>
      </w:r>
      <w:r>
        <w:rPr>
          <w:rFonts w:ascii="Times New Roman" w:hAnsi="Times New Roman" w:cs="Times New Roman"/>
          <w:b w:val="0"/>
          <w:i w:val="0"/>
          <w:color w:val="1A1A1A"/>
          <w:sz w:val="20"/>
        </w:rPr>
        <w:t>Agaeli,O.I,2026)</w:t>
      </w:r>
      <w:r>
        <w:rPr>
          <w:rFonts w:ascii="Times New Roman" w:hAnsi="Times New Roman" w:cs="Times New Roman"/>
          <w:b w:val="0"/>
          <w:i w:val="0"/>
          <w:color w:val="1A1A1A"/>
          <w:sz w:val="20"/>
        </w:rPr>
        <w:t>; cla</w:t>
      </w:r>
      <w:r>
        <w:rPr>
          <w:rFonts w:ascii="Times New Roman" w:hAnsi="Times New Roman" w:cs="Times New Roman"/>
          <w:b w:val="0"/>
          <w:i w:val="0"/>
          <w:color w:val="1A1A1A"/>
          <w:sz w:val="20"/>
        </w:rPr>
        <w:t>n elders (</w:t>
      </w:r>
      <w:r>
        <w:rPr>
          <w:rFonts w:ascii="Times New Roman" w:hAnsi="Times New Roman" w:cs="Times New Roman"/>
          <w:b w:val="0"/>
          <w:i/>
          <w:color w:val="1A1A1A"/>
          <w:sz w:val="20"/>
        </w:rPr>
        <w:t>laigwananis</w:t>
      </w:r>
      <w:r>
        <w:rPr>
          <w:rFonts w:ascii="Times New Roman" w:hAnsi="Times New Roman" w:cs="Times New Roman"/>
          <w:b w:val="0"/>
          <w:i w:val="0"/>
          <w:color w:val="1A1A1A"/>
          <w:sz w:val="20"/>
        </w:rPr>
        <w:t>)</w:t>
      </w:r>
      <w:r>
        <w:rPr>
          <w:rFonts w:ascii="Times New Roman" w:hAnsi="Times New Roman" w:cs="Times New Roman"/>
          <w:b w:val="0"/>
          <w:i w:val="0"/>
          <w:color w:val="1A1A1A"/>
          <w:sz w:val="20"/>
        </w:rPr>
        <w:t xml:space="preserve"> have historically held that the procedure could occur at any age, even as young as two weeks old, and that women who did not undergo it faced community rejection and diminished bride-price value (Friedrich Naumann Foundation, 2024).</w:t>
      </w:r>
    </w:p>
    <w:p>
      <w:pPr>
        <w:spacing w:after="120" w:line="240" w:lineRule="auto"/>
        <w:jc w:val="both"/>
      </w:pPr>
      <w:r>
        <w:rPr>
          <w:rFonts w:ascii="Times New Roman" w:hAnsi="Times New Roman" w:cs="Times New Roman"/>
          <w:b w:val="0"/>
          <w:i w:val="0"/>
          <w:color w:val="1A1A1A"/>
          <w:sz w:val="20"/>
        </w:rPr>
        <w:t>Recent scholarship demonstrates, however, that the relationship between the physical cut and social transition is no longer fixed (van Bavel et al., 2018). Because many girls are now cut in secret at very young ages, often years before adolescence, the pu</w:t>
      </w:r>
      <w:r>
        <w:rPr>
          <w:rFonts w:ascii="Times New Roman" w:hAnsi="Times New Roman" w:cs="Times New Roman"/>
          <w:b w:val="0"/>
          <w:i w:val="0"/>
          <w:color w:val="1A1A1A"/>
          <w:sz w:val="20"/>
        </w:rPr>
        <w:t>blic initiation ceremony has in practice become the primary marker of the transition to womanhood, rather than the cutting itself (Decatur, 2024); in some families, girls participate fully in the ceremony without having been cut, with parents falsely claim</w:t>
      </w:r>
      <w:r>
        <w:rPr>
          <w:rFonts w:ascii="Times New Roman" w:hAnsi="Times New Roman" w:cs="Times New Roman"/>
          <w:b w:val="0"/>
          <w:i w:val="0"/>
          <w:color w:val="1A1A1A"/>
          <w:sz w:val="20"/>
        </w:rPr>
        <w:t xml:space="preserve">ing the procedure occurred earlier in secret (Friedrich Naumann </w:t>
      </w:r>
      <w:r>
        <w:rPr>
          <w:rFonts w:ascii="Times New Roman" w:hAnsi="Times New Roman" w:cs="Times New Roman"/>
          <w:b w:val="0"/>
          <w:i w:val="0"/>
          <w:color w:val="1A1A1A"/>
          <w:sz w:val="20"/>
        </w:rPr>
        <w:t>Foundation, 2025b). This decoupling of the physical act from the social ritual represents a significant transformation in meaning: it is increasingly the ceremony, not the cut, that confers ad</w:t>
      </w:r>
      <w:r>
        <w:rPr>
          <w:rFonts w:ascii="Times New Roman" w:hAnsi="Times New Roman" w:cs="Times New Roman"/>
          <w:b w:val="0"/>
          <w:i w:val="0"/>
          <w:color w:val="1A1A1A"/>
          <w:sz w:val="20"/>
        </w:rPr>
        <w:t>ult status, even as the underlying social capital logic</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that participation, in whatever form, is required for full community membership</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remains intact.</w:t>
      </w:r>
    </w:p>
    <w:p>
      <w:pPr>
        <w:keepNext/>
        <w:keepLines/>
        <w:spacing w:before="160" w:after="60"/>
      </w:pPr>
      <w:r>
        <w:rPr>
          <w:rFonts w:ascii="Times New Roman" w:hAnsi="Times New Roman" w:cs="Times New Roman"/>
          <w:b/>
          <w:i w:val="0"/>
          <w:color w:val="9C0E33"/>
          <w:sz w:val="20"/>
        </w:rPr>
        <w:t>Chastity, Religious Framing, and the Construction of the Ideal Woman</w:t>
      </w:r>
    </w:p>
    <w:p>
      <w:pPr>
        <w:spacing w:after="120" w:line="240" w:lineRule="auto"/>
        <w:jc w:val="both"/>
      </w:pPr>
      <w:r>
        <w:rPr>
          <w:rFonts w:ascii="Times New Roman" w:hAnsi="Times New Roman" w:cs="Times New Roman"/>
          <w:b w:val="0"/>
          <w:i w:val="0"/>
          <w:color w:val="1A1A1A"/>
          <w:sz w:val="20"/>
        </w:rPr>
        <w:t>The primary underpinning of the</w:t>
      </w:r>
      <w:r>
        <w:rPr>
          <w:rFonts w:ascii="Times New Roman" w:hAnsi="Times New Roman" w:cs="Times New Roman"/>
          <w:b w:val="0"/>
          <w:i w:val="0"/>
          <w:color w:val="1A1A1A"/>
          <w:sz w:val="20"/>
        </w:rPr>
        <w:t xml:space="preserve"> custom, in the historiography and in Maasai testimony alike, is the maintenance and promotion of chastity and the prevention of promiscuity (Esho et al., 2013): an 'uncircumcised woman' is widely considered unsuitable for marriage, and a higher dowry atta</w:t>
      </w:r>
      <w:r>
        <w:rPr>
          <w:rFonts w:ascii="Times New Roman" w:hAnsi="Times New Roman" w:cs="Times New Roman"/>
          <w:b w:val="0"/>
          <w:i w:val="0"/>
          <w:color w:val="1A1A1A"/>
          <w:sz w:val="20"/>
        </w:rPr>
        <w:t>ches to a girl believed to be a virgin at marriage, a status the cutting is believed to secure (Talle, 1994). Underscoring these beliefs is the notion that female circumcision controls female desire and fidelity, before and during marriage, by removing gen</w:t>
      </w:r>
      <w:r>
        <w:rPr>
          <w:rFonts w:ascii="Times New Roman" w:hAnsi="Times New Roman" w:cs="Times New Roman"/>
          <w:b w:val="0"/>
          <w:i w:val="0"/>
          <w:color w:val="1A1A1A"/>
          <w:sz w:val="20"/>
        </w:rPr>
        <w:t>italia held to govern sexual behaviour (Ahmadu, 1995). Among the Maasai of Siha District specifically, this logic is embedded within a wider system of indigenous religious belief in which the body is understood as a spiritual as well as biological vessel r</w:t>
      </w:r>
      <w:r>
        <w:rPr>
          <w:rFonts w:ascii="Times New Roman" w:hAnsi="Times New Roman" w:cs="Times New Roman"/>
          <w:b w:val="0"/>
          <w:i w:val="0"/>
          <w:color w:val="1A1A1A"/>
          <w:sz w:val="20"/>
        </w:rPr>
        <w:t>equiring ritual preparation, and in which the uncircumcised female body is perceived as a potential source of ritual impurity threatening cattle fertility, agricultural abundance, and communal harmony (Esho et al., 2013). Circumcision thus performs, in thi</w:t>
      </w:r>
      <w:r>
        <w:rPr>
          <w:rFonts w:ascii="Times New Roman" w:hAnsi="Times New Roman" w:cs="Times New Roman"/>
          <w:b w:val="0"/>
          <w:i w:val="0"/>
          <w:color w:val="1A1A1A"/>
          <w:sz w:val="20"/>
        </w:rPr>
        <w:t>s cosmology, an apotropaic as well as social function, removing a perceived danger and integrating the girl into the protective structures of adult Maasai society (Talle, 1994).</w:t>
      </w:r>
    </w:p>
    <w:p>
      <w:pPr>
        <w:spacing w:after="120" w:line="240" w:lineRule="auto"/>
        <w:jc w:val="both"/>
      </w:pPr>
      <w:r>
        <w:rPr>
          <w:rFonts w:ascii="Times New Roman" w:hAnsi="Times New Roman" w:cs="Times New Roman"/>
          <w:b w:val="0"/>
          <w:i w:val="0"/>
          <w:color w:val="1A1A1A"/>
          <w:sz w:val="20"/>
        </w:rPr>
        <w:t>Although the practice is often assumed by practitioners to carry religious san</w:t>
      </w:r>
      <w:r>
        <w:rPr>
          <w:rFonts w:ascii="Times New Roman" w:hAnsi="Times New Roman" w:cs="Times New Roman"/>
          <w:b w:val="0"/>
          <w:i w:val="0"/>
          <w:color w:val="1A1A1A"/>
          <w:sz w:val="20"/>
        </w:rPr>
        <w:t>ction, the association with any particular scripture does not withstand scrutiny: neither the Qur'an nor the Bible prescribes female circumcision (Avalos, 2015), and the practice pre-dates both religions. What the evidence supports instead is a coherent in</w:t>
      </w:r>
      <w:r>
        <w:rPr>
          <w:rFonts w:ascii="Times New Roman" w:hAnsi="Times New Roman" w:cs="Times New Roman"/>
          <w:b w:val="0"/>
          <w:i w:val="0"/>
          <w:color w:val="1A1A1A"/>
          <w:sz w:val="20"/>
        </w:rPr>
        <w:t>digenous religious and cosmological framework (Esho et al., 2013), integrated so thoroughly into Maasai orthopraxy that questioning the practice has historically been experienced as tantamount to questioning the divine and social order itself (Decatur, 202</w:t>
      </w:r>
      <w:r>
        <w:rPr>
          <w:rFonts w:ascii="Times New Roman" w:hAnsi="Times New Roman" w:cs="Times New Roman"/>
          <w:b w:val="0"/>
          <w:i w:val="0"/>
          <w:color w:val="1A1A1A"/>
          <w:sz w:val="20"/>
        </w:rPr>
        <w:t xml:space="preserve">4)—a point with direct implications for the design of faith-based elimination interventions, several of which have shown some success in Manyara, Dodoma, and Arusha regions by engaging traditional and religious elders as change agents rather than treating </w:t>
      </w:r>
      <w:r>
        <w:rPr>
          <w:rFonts w:ascii="Times New Roman" w:hAnsi="Times New Roman" w:cs="Times New Roman"/>
          <w:b w:val="0"/>
          <w:i w:val="0"/>
          <w:color w:val="1A1A1A"/>
          <w:sz w:val="20"/>
        </w:rPr>
        <w:t>them solely as obstacles (Friedrich Naumann Foundation, 2025a).</w:t>
      </w:r>
    </w:p>
    <w:p>
      <w:pPr>
        <w:spacing w:after="120" w:line="240" w:lineRule="auto"/>
        <w:jc w:val="both"/>
      </w:pPr>
      <w:r>
        <w:rPr>
          <w:rFonts w:ascii="Times New Roman" w:hAnsi="Times New Roman" w:cs="Times New Roman"/>
          <w:b w:val="0"/>
          <w:i w:val="0"/>
          <w:color w:val="1A1A1A"/>
          <w:sz w:val="20"/>
        </w:rPr>
        <w:t>Maasai oral literature, songs, and initiation teachings play a foundational role in constructing the 'ideal' woman through the lens of Emuratare, portrayed as the essential gateway to adult fe</w:t>
      </w:r>
      <w:r>
        <w:rPr>
          <w:rFonts w:ascii="Times New Roman" w:hAnsi="Times New Roman" w:cs="Times New Roman"/>
          <w:b w:val="0"/>
          <w:i w:val="0"/>
          <w:color w:val="1A1A1A"/>
          <w:sz w:val="20"/>
        </w:rPr>
        <w:t>male identity and social respectability (Esho et al., 2013). During the waiting period preceding circumcision, initiates participate in self-praise songs that celebrate the bravery and endurance required to undergo the procedure, framing the ability to end</w:t>
      </w:r>
      <w:r>
        <w:rPr>
          <w:rFonts w:ascii="Times New Roman" w:hAnsi="Times New Roman" w:cs="Times New Roman"/>
          <w:b w:val="0"/>
          <w:i w:val="0"/>
          <w:color w:val="1A1A1A"/>
          <w:sz w:val="20"/>
        </w:rPr>
        <w:t>ure pain without flinching as the highest form of female virtue (Talle, 1994). The initiation teachings that follow coach girls in their new responsibilities as women who must 'give and not just receive' and protect, rather than merely be protected by, the</w:t>
      </w:r>
      <w:r>
        <w:rPr>
          <w:rFonts w:ascii="Times New Roman" w:hAnsi="Times New Roman" w:cs="Times New Roman"/>
          <w:b w:val="0"/>
          <w:i w:val="0"/>
          <w:color w:val="1A1A1A"/>
          <w:sz w:val="20"/>
        </w:rPr>
        <w:t xml:space="preserve"> family (Ahmadu, 1995). For the Maasai, the uncircumcised woman remains ndito in the eyes of the community regardless of her education or age, and it is through the combination of the physical cut and the ceremonial teaching that a girl is admitted into th</w:t>
      </w:r>
      <w:r>
        <w:rPr>
          <w:rFonts w:ascii="Times New Roman" w:hAnsi="Times New Roman" w:cs="Times New Roman"/>
          <w:b w:val="0"/>
          <w:i w:val="0"/>
          <w:color w:val="1A1A1A"/>
          <w:sz w:val="20"/>
        </w:rPr>
        <w:t>e company of siangiki (women) who uphold the community's values of femaleness—an ideal centred on family responsibility, sexual restraint, and loyalty to husband, values the community regards as physically and spiritually sealed through the act of circumci</w:t>
      </w:r>
      <w:r>
        <w:rPr>
          <w:rFonts w:ascii="Times New Roman" w:hAnsi="Times New Roman" w:cs="Times New Roman"/>
          <w:b w:val="0"/>
          <w:i w:val="0"/>
          <w:color w:val="1A1A1A"/>
          <w:sz w:val="20"/>
        </w:rPr>
        <w:t>sion itself (Esho et al., 2013; Talle, 1994).</w:t>
      </w:r>
    </w:p>
    <w:p>
      <w:pPr>
        <w:keepNext/>
        <w:keepLines/>
        <w:spacing w:before="160" w:after="60"/>
      </w:pPr>
      <w:r>
        <w:rPr>
          <w:rFonts w:ascii="Times New Roman" w:hAnsi="Times New Roman" w:cs="Times New Roman"/>
          <w:b/>
          <w:i w:val="0"/>
          <w:color w:val="9C0E33"/>
          <w:sz w:val="20"/>
        </w:rPr>
        <w:t>Marriageability and Bride Price as Social Capital</w:t>
      </w:r>
    </w:p>
    <w:p>
      <w:pPr>
        <w:spacing w:after="120" w:line="240" w:lineRule="auto"/>
        <w:jc w:val="both"/>
      </w:pPr>
      <w:r>
        <w:rPr>
          <w:rFonts w:ascii="Times New Roman" w:hAnsi="Times New Roman" w:cs="Times New Roman"/>
          <w:b w:val="0"/>
          <w:i w:val="0"/>
          <w:color w:val="1A1A1A"/>
          <w:sz w:val="20"/>
        </w:rPr>
        <w:t>In societies such as the Maasai, where marriage constitutes a woman's primary means of social and economic survival and circumcision is a prerequisite to ma</w:t>
      </w:r>
      <w:r>
        <w:rPr>
          <w:rFonts w:ascii="Times New Roman" w:hAnsi="Times New Roman" w:cs="Times New Roman"/>
          <w:b w:val="0"/>
          <w:i w:val="0"/>
          <w:color w:val="1A1A1A"/>
          <w:sz w:val="20"/>
        </w:rPr>
        <w:t>rriage, persuading women to relinquish the practice is an exceedingly difficult task, since the overriding fear among mothers is that an uncut daughter will be unable to secure a husband or bear children and will consequently become a social outcast (Refae</w:t>
      </w:r>
      <w:r>
        <w:rPr>
          <w:rFonts w:ascii="Times New Roman" w:hAnsi="Times New Roman" w:cs="Times New Roman"/>
          <w:b w:val="0"/>
          <w:i w:val="0"/>
          <w:color w:val="1A1A1A"/>
          <w:sz w:val="20"/>
        </w:rPr>
        <w:t>i et al., 2016; Shell-Duncan et al., 2001). Within Social Capital Theory, marriageability represents the primary form of social capital that women accumulate through circumcision (Decatur, 2024): this capital determines a woman's ability to secure a husban</w:t>
      </w:r>
      <w:r>
        <w:rPr>
          <w:rFonts w:ascii="Times New Roman" w:hAnsi="Times New Roman" w:cs="Times New Roman"/>
          <w:b w:val="0"/>
          <w:i w:val="0"/>
          <w:color w:val="1A1A1A"/>
          <w:sz w:val="20"/>
        </w:rPr>
        <w:t xml:space="preserve">d, which in patriarchal Maasai society is the primary pathway to economic security, social status, and community membership (Esho et al., 2013). </w:t>
      </w:r>
      <w:r>
        <w:rPr>
          <w:rFonts w:ascii="Times New Roman" w:hAnsi="Times New Roman" w:cs="Times New Roman"/>
          <w:b w:val="0"/>
          <w:i w:val="0"/>
          <w:color w:val="1A1A1A"/>
          <w:sz w:val="20"/>
        </w:rPr>
        <w:t>T</w:t>
      </w:r>
      <w:r>
        <w:rPr>
          <w:rFonts w:ascii="Times New Roman" w:hAnsi="Times New Roman" w:cs="Times New Roman"/>
          <w:b w:val="0"/>
          <w:i w:val="0"/>
          <w:color w:val="1A1A1A"/>
          <w:sz w:val="20"/>
        </w:rPr>
        <w:t xml:space="preserve">he practice is culturally understood to increase marriageability and bride price, and drought pressure creates a material incentive to marry </w:t>
      </w:r>
      <w:r>
        <w:rPr>
          <w:rFonts w:ascii="Times New Roman" w:hAnsi="Times New Roman" w:cs="Times New Roman"/>
          <w:b w:val="0"/>
          <w:i w:val="0"/>
          <w:color w:val="1A1A1A"/>
          <w:sz w:val="20"/>
        </w:rPr>
        <w:t xml:space="preserve">daughters </w:t>
      </w:r>
      <w:r>
        <w:rPr>
          <w:rFonts w:ascii="Times New Roman" w:hAnsi="Times New Roman" w:cs="Times New Roman"/>
          <w:b w:val="0"/>
          <w:i w:val="0"/>
          <w:color w:val="1A1A1A"/>
          <w:sz w:val="20"/>
        </w:rPr>
        <w:t>(</w:t>
      </w:r>
      <w:r>
        <w:rPr>
          <w:rFonts w:ascii="Times New Roman" w:hAnsi="Times New Roman" w:cs="Times New Roman"/>
          <w:b w:val="0"/>
          <w:i w:val="0"/>
          <w:color w:val="1A1A1A"/>
          <w:sz w:val="20"/>
        </w:rPr>
        <w:t>Friedrich Naumann Foundation, 2022, 2024)</w:t>
      </w:r>
      <w:r>
        <w:rPr>
          <w:rFonts w:ascii="Times New Roman" w:hAnsi="Times New Roman" w:cs="Times New Roman"/>
          <w:b w:val="0"/>
          <w:i w:val="0"/>
          <w:color w:val="1A1A1A"/>
          <w:sz w:val="20"/>
        </w:rPr>
        <w:t>.</w:t>
      </w:r>
    </w:p>
    <w:p>
      <w:pPr>
        <w:spacing w:after="120" w:line="240" w:lineRule="auto"/>
        <w:jc w:val="both"/>
      </w:pPr>
      <w:r>
        <w:rPr>
          <w:rFonts w:ascii="Times New Roman" w:hAnsi="Times New Roman" w:cs="Times New Roman"/>
          <w:b w:val="0"/>
          <w:i w:val="0"/>
          <w:color w:val="1A1A1A"/>
          <w:sz w:val="20"/>
        </w:rPr>
        <w:t xml:space="preserve">The economic logic of marriageability is reinforced by what </w:t>
      </w:r>
      <w:r>
        <w:rPr>
          <w:rFonts w:ascii="Times New Roman" w:hAnsi="Times New Roman" w:cs="Times New Roman"/>
          <w:b w:val="0"/>
          <w:i w:val="0"/>
          <w:color w:val="1A1A1A"/>
          <w:sz w:val="20"/>
        </w:rPr>
        <w:t xml:space="preserve">the literature terms a peer-convention effect, distinct from marriageability narrowly defined: gaining entry to a women's peer network is itself a driving factor, since uncut girls and women face substantial harassment from cut women and are excluded from </w:t>
      </w:r>
      <w:r>
        <w:rPr>
          <w:rFonts w:ascii="Times New Roman" w:hAnsi="Times New Roman" w:cs="Times New Roman"/>
          <w:b w:val="0"/>
          <w:i w:val="0"/>
          <w:color w:val="1A1A1A"/>
          <w:sz w:val="20"/>
        </w:rPr>
        <w:t>participating in, or even being present at, activities including circumcision ceremonies, wedding ceremonies, and collective family or community decision-making (Refaei et al., 2016; Shell-Duncan et al., 2001). Undergoing circumcision therefore allows youn</w:t>
      </w:r>
      <w:r>
        <w:rPr>
          <w:rFonts w:ascii="Times New Roman" w:hAnsi="Times New Roman" w:cs="Times New Roman"/>
          <w:b w:val="0"/>
          <w:i w:val="0"/>
          <w:color w:val="1A1A1A"/>
          <w:sz w:val="20"/>
        </w:rPr>
        <w:t xml:space="preserve">g women to expand their social capital and, as they age, to benefit from the deference of younger women, thereby gaining personal power within the community (Ahmadu, 1995); the practice functions, in this reading, as a signal of willingness to participate </w:t>
      </w:r>
      <w:r>
        <w:rPr>
          <w:rFonts w:ascii="Times New Roman" w:hAnsi="Times New Roman" w:cs="Times New Roman"/>
          <w:b w:val="0"/>
          <w:i w:val="0"/>
          <w:color w:val="1A1A1A"/>
          <w:sz w:val="20"/>
        </w:rPr>
        <w:t>in an established hierarchy of power rather than merely as a precondition for marriage narrowly conceived (Decatur, 2024). Female circumcision is, on this analysis, best understood as a self-enforcing social convention whose persistence is maintained by th</w:t>
      </w:r>
      <w:r>
        <w:rPr>
          <w:rFonts w:ascii="Times New Roman" w:hAnsi="Times New Roman" w:cs="Times New Roman"/>
          <w:b w:val="0"/>
          <w:i w:val="0"/>
          <w:color w:val="1A1A1A"/>
          <w:sz w:val="20"/>
        </w:rPr>
        <w:t>e high social cost of opting out (Shell-Duncan et al., 2001): cutting provides immediate, if harmful, social and economic benefit to women in specific cultural contexts, which is precisely why marriageability functions as the practice's principal engine of</w:t>
      </w:r>
      <w:r>
        <w:rPr>
          <w:rFonts w:ascii="Times New Roman" w:hAnsi="Times New Roman" w:cs="Times New Roman"/>
          <w:b w:val="0"/>
          <w:i w:val="0"/>
          <w:color w:val="1A1A1A"/>
          <w:sz w:val="20"/>
        </w:rPr>
        <w:t xml:space="preserve"> continuation and why coordinated, rather than individual, family decisions are typically required to shift the convention (Friedrich Naumann Foundation, 2025a).</w:t>
      </w:r>
    </w:p>
    <w:p>
      <w:pPr>
        <w:keepNext/>
        <w:keepLines/>
        <w:spacing w:before="160" w:after="60"/>
      </w:pPr>
      <w:r>
        <w:rPr>
          <w:rFonts w:ascii="Times New Roman" w:hAnsi="Times New Roman" w:cs="Times New Roman"/>
          <w:b/>
          <w:i w:val="0"/>
          <w:color w:val="9C0E33"/>
          <w:sz w:val="20"/>
        </w:rPr>
        <w:t>Patriarchy and the Determination of Women's Social Capital</w:t>
      </w:r>
    </w:p>
    <w:p>
      <w:pPr>
        <w:spacing w:after="120" w:line="240" w:lineRule="auto"/>
        <w:jc w:val="both"/>
      </w:pPr>
      <w:r>
        <w:rPr>
          <w:rFonts w:ascii="Times New Roman" w:hAnsi="Times New Roman" w:cs="Times New Roman"/>
          <w:b w:val="0"/>
          <w:i w:val="0"/>
          <w:color w:val="1A1A1A"/>
          <w:sz w:val="20"/>
        </w:rPr>
        <w:t>Patriarchy constitutes the over</w:t>
      </w:r>
      <w:r>
        <w:rPr>
          <w:rFonts w:ascii="Times New Roman" w:hAnsi="Times New Roman" w:cs="Times New Roman"/>
          <w:b w:val="0"/>
          <w:i w:val="0"/>
          <w:color w:val="1A1A1A"/>
          <w:sz w:val="20"/>
        </w:rPr>
        <w:t>arching power structure that determines the value of women's social capital among the Maasai (Esho et al., 2013): it defines what constitutes an 'ideal' woman, controls the terms of marriageability, and ensures that women remain economically dependent on m</w:t>
      </w:r>
      <w:r>
        <w:rPr>
          <w:rFonts w:ascii="Times New Roman" w:hAnsi="Times New Roman" w:cs="Times New Roman"/>
          <w:b w:val="0"/>
          <w:i w:val="0"/>
          <w:color w:val="1A1A1A"/>
          <w:sz w:val="20"/>
        </w:rPr>
        <w:t>en (Avalos, 2015). Men hold ultimate authority in household and community governance, meaning fathers determine their daughters' futures, prioritising bride price paid in cattle over girls' education or wellbeing (Friedrich Naumann Foundation, 2024); marri</w:t>
      </w:r>
      <w:r>
        <w:rPr>
          <w:rFonts w:ascii="Times New Roman" w:hAnsi="Times New Roman" w:cs="Times New Roman"/>
          <w:b w:val="0"/>
          <w:i w:val="0"/>
          <w:color w:val="1A1A1A"/>
          <w:sz w:val="20"/>
        </w:rPr>
        <w:t>age becomes, in consequence, the only pathway to social acceptance and economic security available to most Maasai women, and circumcision functions as a strict prerequisite for that marriage, such that marrying an uncut woman is widely regarded as degradin</w:t>
      </w:r>
      <w:r>
        <w:rPr>
          <w:rFonts w:ascii="Times New Roman" w:hAnsi="Times New Roman" w:cs="Times New Roman"/>
          <w:b w:val="0"/>
          <w:i w:val="0"/>
          <w:color w:val="1A1A1A"/>
          <w:sz w:val="20"/>
        </w:rPr>
        <w:t>g (Talle, 1994; Refaei et al., 2016).</w:t>
      </w:r>
    </w:p>
    <w:p>
      <w:pPr>
        <w:spacing w:after="120" w:line="240" w:lineRule="auto"/>
        <w:jc w:val="both"/>
      </w:pPr>
      <w:r>
        <w:rPr>
          <w:rFonts w:ascii="Times New Roman" w:hAnsi="Times New Roman" w:cs="Times New Roman"/>
          <w:b w:val="0"/>
          <w:i w:val="0"/>
          <w:color w:val="1A1A1A"/>
          <w:sz w:val="20"/>
        </w:rPr>
        <w:t xml:space="preserve">Women themselves, particularly mothers and grandmothers, become active enforcers of this system, not primarily out of ideological commitment but because their own economic survival and social standing are structurally </w:t>
      </w:r>
      <w:r>
        <w:rPr>
          <w:rFonts w:ascii="Times New Roman" w:hAnsi="Times New Roman" w:cs="Times New Roman"/>
          <w:b w:val="0"/>
          <w:i w:val="0"/>
          <w:color w:val="1A1A1A"/>
          <w:sz w:val="20"/>
        </w:rPr>
        <w:t>dependent on upholding it (Shell-Duncan et al., 2001). For the ngaribas, the traditional female circumcisers, the practice has historically constituted an essential source of income, since practitioners were paid the equivalent of a goat for each procedure</w:t>
      </w:r>
      <w:r>
        <w:rPr>
          <w:rFonts w:ascii="Times New Roman" w:hAnsi="Times New Roman" w:cs="Times New Roman"/>
          <w:b w:val="0"/>
          <w:i w:val="0"/>
          <w:color w:val="1A1A1A"/>
          <w:sz w:val="20"/>
        </w:rPr>
        <w:t xml:space="preserve"> (Friedrich Naumann Foundation, 2025b); without alternative livelihoods, abandonment of the </w:t>
      </w:r>
      <w:r>
        <w:rPr>
          <w:rFonts w:ascii="Times New Roman" w:hAnsi="Times New Roman" w:cs="Times New Roman"/>
          <w:b w:val="0"/>
          <w:i w:val="0"/>
          <w:color w:val="1A1A1A"/>
          <w:sz w:val="20"/>
        </w:rPr>
        <w:t>practice was, for this group, economically close to impossible (Avalos, 2015). Mothers, meanwhile, are frequently placed in a position where daughters are legally r</w:t>
      </w:r>
      <w:r>
        <w:rPr>
          <w:rFonts w:ascii="Times New Roman" w:hAnsi="Times New Roman" w:cs="Times New Roman"/>
          <w:b w:val="0"/>
          <w:i w:val="0"/>
          <w:color w:val="1A1A1A"/>
          <w:sz w:val="20"/>
        </w:rPr>
        <w:t xml:space="preserve">egarded as their father's property, leaving mothers without the authority to challenge decisions concerning their children's marriage or education (Esho et al., 2013). Significant transformation is nonetheless documented where it has occurred: </w:t>
      </w:r>
      <w:r>
        <w:rPr>
          <w:rFonts w:ascii="Times New Roman" w:hAnsi="Times New Roman" w:cs="Times New Roman"/>
          <w:b w:val="0"/>
          <w:i w:val="0"/>
          <w:color w:val="1A1A1A"/>
          <w:sz w:val="20"/>
        </w:rPr>
        <w:t>economic-emp</w:t>
      </w:r>
      <w:r>
        <w:rPr>
          <w:rFonts w:ascii="Times New Roman" w:hAnsi="Times New Roman" w:cs="Times New Roman"/>
          <w:b w:val="0"/>
          <w:i w:val="0"/>
          <w:color w:val="1A1A1A"/>
          <w:sz w:val="20"/>
        </w:rPr>
        <w:t>owerment projects that have trained more than one hundred and thirty former circumcisers in alternative business skills have enabled a number of these women to become active advocates against the practice (Friedrich Naumann Foundation, 2022), evidence that</w:t>
      </w:r>
      <w:r>
        <w:rPr>
          <w:rFonts w:ascii="Times New Roman" w:hAnsi="Times New Roman" w:cs="Times New Roman"/>
          <w:b w:val="0"/>
          <w:i w:val="0"/>
          <w:color w:val="1A1A1A"/>
          <w:sz w:val="20"/>
        </w:rPr>
        <w:t xml:space="preserve"> when women gain genuine financial independence, they are documented as actively rejecting the patriarchal systems that they had previously helped to sustain (Shell-Duncan et al., 2001).</w:t>
      </w:r>
    </w:p>
    <w:p>
      <w:pPr>
        <w:keepNext/>
        <w:keepLines/>
        <w:spacing w:before="160" w:after="60"/>
      </w:pPr>
      <w:r>
        <w:rPr>
          <w:rFonts w:ascii="Times New Roman" w:hAnsi="Times New Roman" w:cs="Times New Roman"/>
          <w:b/>
          <w:i w:val="0"/>
          <w:color w:val="9C0E33"/>
          <w:sz w:val="20"/>
        </w:rPr>
        <w:t>The Political Economy of Circumcisers and Traditional Authority</w:t>
      </w:r>
    </w:p>
    <w:p>
      <w:pPr>
        <w:spacing w:after="120" w:line="240" w:lineRule="auto"/>
        <w:jc w:val="both"/>
      </w:pPr>
      <w:r>
        <w:rPr>
          <w:rFonts w:ascii="Times New Roman" w:hAnsi="Times New Roman" w:cs="Times New Roman"/>
          <w:b w:val="0"/>
          <w:i w:val="0"/>
          <w:color w:val="1A1A1A"/>
          <w:sz w:val="20"/>
        </w:rPr>
        <w:t>T</w:t>
      </w:r>
      <w:r>
        <w:rPr>
          <w:rFonts w:ascii="Times New Roman" w:hAnsi="Times New Roman" w:cs="Times New Roman"/>
          <w:b w:val="0"/>
          <w:i w:val="0"/>
          <w:color w:val="1A1A1A"/>
          <w:sz w:val="20"/>
        </w:rPr>
        <w:t>o understand why female circumcision continues, and why more is not done at the community and local-government level to stop it, it is essential to recognise that traditional leaders occupy a key social and economic role in perpetuating the practice (Avalo</w:t>
      </w:r>
      <w:r>
        <w:rPr>
          <w:rFonts w:ascii="Times New Roman" w:hAnsi="Times New Roman" w:cs="Times New Roman"/>
          <w:b w:val="0"/>
          <w:i w:val="0"/>
          <w:color w:val="1A1A1A"/>
          <w:sz w:val="20"/>
        </w:rPr>
        <w:t>s, 2015; Friedrich Naumann Foundation, 2024). Beyond deciding when the circumcision season will take place and which clans will participate, traditional leaders also select the circumcisers, and leaders and circumcisers together typically share the fees th</w:t>
      </w:r>
      <w:r>
        <w:rPr>
          <w:rFonts w:ascii="Times New Roman" w:hAnsi="Times New Roman" w:cs="Times New Roman"/>
          <w:b w:val="0"/>
          <w:i w:val="0"/>
          <w:color w:val="1A1A1A"/>
          <w:sz w:val="20"/>
        </w:rPr>
        <w:t>at parents pay to have their daughters cut, giving both groups a direct economic incentive in the practice's continuation (Friedrich Naumann Foundation, 2025b). Circumcisers, referred to locally as ngaribas or maghariba, hold significant social status as r</w:t>
      </w:r>
      <w:r>
        <w:rPr>
          <w:rFonts w:ascii="Times New Roman" w:hAnsi="Times New Roman" w:cs="Times New Roman"/>
          <w:b w:val="0"/>
          <w:i w:val="0"/>
          <w:color w:val="1A1A1A"/>
          <w:sz w:val="20"/>
        </w:rPr>
        <w:t>espected female elders in addition to this economic interest (Esho et al., 2013), and their authority as gatekeepers of tradition means that individual families cannot easily decline their services without risking social exclusion for their daughters (</w:t>
      </w:r>
      <w:r>
        <w:rPr>
          <w:rFonts w:ascii="Times New Roman" w:hAnsi="Times New Roman" w:cs="Times New Roman"/>
          <w:b w:val="0"/>
          <w:i w:val="0"/>
          <w:color w:val="1A1A1A"/>
          <w:sz w:val="20"/>
        </w:rPr>
        <w:t>Neng</w:t>
      </w:r>
      <w:r>
        <w:rPr>
          <w:rFonts w:ascii="Times New Roman" w:hAnsi="Times New Roman" w:cs="Times New Roman"/>
          <w:b w:val="0"/>
          <w:i w:val="0"/>
          <w:color w:val="1A1A1A"/>
          <w:sz w:val="20"/>
        </w:rPr>
        <w:t xml:space="preserve">arivo,O.I,2026).        </w:t>
      </w:r>
    </w:p>
    <w:p>
      <w:pPr>
        <w:spacing w:after="120" w:line="240" w:lineRule="auto"/>
        <w:jc w:val="both"/>
      </w:pPr>
      <w:r>
        <w:rPr>
          <w:rFonts w:ascii="Times New Roman" w:hAnsi="Times New Roman" w:cs="Times New Roman"/>
          <w:b w:val="0"/>
          <w:i w:val="0"/>
          <w:color w:val="1A1A1A"/>
          <w:sz w:val="20"/>
        </w:rPr>
        <w:t>This vested interest extends into the sphere of local politics and law enforcement (Avalos, 2015). Politicians have been documented as reluctant to oppose the practice for fear of antagonising traditional leaders whose support is e</w:t>
      </w:r>
      <w:r>
        <w:rPr>
          <w:rFonts w:ascii="Times New Roman" w:hAnsi="Times New Roman" w:cs="Times New Roman"/>
          <w:b w:val="0"/>
          <w:i w:val="0"/>
          <w:color w:val="1A1A1A"/>
          <w:sz w:val="20"/>
        </w:rPr>
        <w:t xml:space="preserve">lectorally significant (Friedrich Naumann Foundation, 2024), and </w:t>
      </w:r>
      <w:r>
        <w:rPr>
          <w:rFonts w:ascii="Times New Roman" w:hAnsi="Times New Roman" w:cs="Times New Roman"/>
          <w:b w:val="0"/>
          <w:i w:val="0"/>
          <w:color w:val="1A1A1A"/>
          <w:sz w:val="20"/>
        </w:rPr>
        <w:t>Police have reportedly declined to intervene in circumcision ceremonies protected by community members armed with traditional weapons, citing fear of violence or the loss of traditional leade</w:t>
      </w:r>
      <w:r>
        <w:rPr>
          <w:rFonts w:ascii="Times New Roman" w:hAnsi="Times New Roman" w:cs="Times New Roman"/>
          <w:b w:val="0"/>
          <w:i w:val="0"/>
          <w:color w:val="1A1A1A"/>
          <w:sz w:val="20"/>
        </w:rPr>
        <w:t>rs' cooperation in other law-enforcement matters (Friedrich Naumann Foundation, 2025b).</w:t>
      </w:r>
      <w:r>
        <w:rPr>
          <w:rFonts w:ascii="Times New Roman" w:hAnsi="Times New Roman" w:cs="Times New Roman"/>
          <w:b w:val="0"/>
          <w:i w:val="0"/>
          <w:color w:val="1A1A1A"/>
          <w:sz w:val="20"/>
        </w:rPr>
        <w:t xml:space="preserve"> The political economy of the practice therefore extends well beyond the household, implicating traditional authority structures, local government, and law enforcement i</w:t>
      </w:r>
      <w:r>
        <w:rPr>
          <w:rFonts w:ascii="Times New Roman" w:hAnsi="Times New Roman" w:cs="Times New Roman"/>
          <w:b w:val="0"/>
          <w:i w:val="0"/>
          <w:color w:val="1A1A1A"/>
          <w:sz w:val="20"/>
        </w:rPr>
        <w:t>n a web of material incentive that a purely legal or health-based intervention is unlikely, on its own, to dislodge (Avalos, 2015; Shell-Duncan et al., 2001).</w:t>
      </w:r>
    </w:p>
    <w:p>
      <w:pPr>
        <w:keepNext/>
        <w:keepLines/>
        <w:spacing w:before="200" w:after="60"/>
      </w:pPr>
      <w:r>
        <w:rPr>
          <w:rFonts w:ascii="Times New Roman" w:hAnsi="Times New Roman" w:cs="Times New Roman"/>
          <w:b/>
          <w:i w:val="0"/>
          <w:color w:val="9C0E33"/>
          <w:sz w:val="21"/>
        </w:rPr>
        <w:t>CONCLUSION</w:t>
      </w:r>
    </w:p>
    <w:p>
      <w:pPr>
        <w:spacing w:after="120" w:line="240" w:lineRule="auto"/>
        <w:jc w:val="both"/>
      </w:pPr>
      <w:r>
        <w:rPr>
          <w:rFonts w:ascii="Times New Roman" w:hAnsi="Times New Roman" w:cs="Times New Roman"/>
          <w:b w:val="0"/>
          <w:i w:val="0"/>
          <w:color w:val="1A1A1A"/>
          <w:sz w:val="20"/>
        </w:rPr>
        <w:t xml:space="preserve">This analysis has demonstrated that female circumcision among the Maasai is </w:t>
      </w:r>
      <w:r>
        <w:rPr>
          <w:rFonts w:ascii="Times New Roman" w:hAnsi="Times New Roman" w:cs="Times New Roman"/>
          <w:b w:val="0"/>
          <w:i w:val="0"/>
          <w:color w:val="1A1A1A"/>
          <w:sz w:val="20"/>
        </w:rPr>
        <w:t xml:space="preserve">neither an irrational adherence to tradition nor a purely harmful practice imposed upon passive victims (Ahmadu, 1995; Esho et al., 2013). It is better understood as a social institution through which women negotiate status, belonging, and economic </w:t>
      </w:r>
      <w:r>
        <w:rPr>
          <w:rFonts w:ascii="Times New Roman" w:hAnsi="Times New Roman" w:cs="Times New Roman"/>
          <w:b w:val="0"/>
          <w:i w:val="0"/>
          <w:color w:val="1A1A1A"/>
          <w:sz w:val="20"/>
        </w:rPr>
        <w:t>security</w:t>
      </w:r>
      <w:r>
        <w:rPr>
          <w:rFonts w:ascii="Times New Roman" w:hAnsi="Times New Roman" w:cs="Times New Roman"/>
          <w:b w:val="0"/>
          <w:i w:val="0"/>
          <w:color w:val="1A1A1A"/>
          <w:sz w:val="20"/>
        </w:rPr>
        <w:t xml:space="preserve"> (Esho</w:t>
      </w:r>
      <w:r>
        <w:rPr>
          <w:rFonts w:ascii="Times New Roman" w:hAnsi="Times New Roman" w:cs="Times New Roman"/>
          <w:b w:val="0"/>
          <w:i w:val="0"/>
          <w:color w:val="1A1A1A"/>
          <w:sz w:val="20"/>
        </w:rPr>
        <w:t xml:space="preserve"> et al., 2013). Rather, viewed through Social Capital Theory (Bourdieu, 1986; Coleman, 1988), female circumcision functions as a complex socio-economic system in which the practice serves as a mechanism for accumulating social capital—marriageabilit</w:t>
      </w:r>
      <w:r>
        <w:rPr>
          <w:rFonts w:ascii="Times New Roman" w:hAnsi="Times New Roman" w:cs="Times New Roman"/>
          <w:b w:val="0"/>
          <w:i w:val="0"/>
          <w:color w:val="1A1A1A"/>
          <w:sz w:val="20"/>
        </w:rPr>
        <w:t>y, community membership, honour, and symbolic prestige (Decatur, 2024; Shell-Duncan et al., 2001). The persistence of the practice is maintained by interconnected factors: cultural justifications that frame cutting as a necessary rite of passage (Talle, 19</w:t>
      </w:r>
      <w:r>
        <w:rPr>
          <w:rFonts w:ascii="Times New Roman" w:hAnsi="Times New Roman" w:cs="Times New Roman"/>
          <w:b w:val="0"/>
          <w:i w:val="0"/>
          <w:color w:val="1A1A1A"/>
          <w:sz w:val="20"/>
        </w:rPr>
        <w:t xml:space="preserve">94); the economic logic of bride price and chastity preservation (Esho et al., 2013); intense societal pressure that enforces conformity (Refaei et al., 2016); the construction of a patriarchal ideal of </w:t>
      </w:r>
      <w:r>
        <w:rPr>
          <w:rFonts w:ascii="Times New Roman" w:hAnsi="Times New Roman" w:cs="Times New Roman"/>
          <w:b w:val="0"/>
          <w:i w:val="0"/>
          <w:color w:val="1A1A1A"/>
          <w:sz w:val="20"/>
        </w:rPr>
        <w:t>womanhood centred on modesty, fidelity, and motherhoo</w:t>
      </w:r>
      <w:r>
        <w:rPr>
          <w:rFonts w:ascii="Times New Roman" w:hAnsi="Times New Roman" w:cs="Times New Roman"/>
          <w:b w:val="0"/>
          <w:i w:val="0"/>
          <w:color w:val="1A1A1A"/>
          <w:sz w:val="20"/>
        </w:rPr>
        <w:t>d (Avalos, 2015); and the vested economic and political interests of circumcisers, traditional leaders, and local officials who benefit materially from the practice's continuation (Friedrich Naumann Foundation, 2024, 2025b).</w:t>
      </w:r>
    </w:p>
    <w:p>
      <w:pPr>
        <w:spacing w:after="120" w:line="240" w:lineRule="auto"/>
        <w:jc w:val="both"/>
      </w:pPr>
      <w:r>
        <w:rPr>
          <w:rFonts w:ascii="Times New Roman" w:hAnsi="Times New Roman" w:cs="Times New Roman"/>
          <w:b w:val="0"/>
          <w:i w:val="0"/>
          <w:color w:val="1A1A1A"/>
          <w:sz w:val="20"/>
        </w:rPr>
        <w:t>Critically, the very mechanisms</w:t>
      </w:r>
      <w:r>
        <w:rPr>
          <w:rFonts w:ascii="Times New Roman" w:hAnsi="Times New Roman" w:cs="Times New Roman"/>
          <w:b w:val="0"/>
          <w:i w:val="0"/>
          <w:color w:val="1A1A1A"/>
          <w:sz w:val="20"/>
        </w:rPr>
        <w:t xml:space="preserve"> that perpetuate female circumcision—social rewards for conformity and severe sanctions for deviation—are also the mechanisms that make individual, unilateral abandonment so difficult for single families (Shell-Duncan et al., 2001); the practice is, in thi</w:t>
      </w:r>
      <w:r>
        <w:rPr>
          <w:rFonts w:ascii="Times New Roman" w:hAnsi="Times New Roman" w:cs="Times New Roman"/>
          <w:b w:val="0"/>
          <w:i w:val="0"/>
          <w:color w:val="1A1A1A"/>
          <w:sz w:val="20"/>
        </w:rPr>
        <w:t>s sense, a self-enforcing social convention that requires coordinated, collective change rather than individual persuasion (Refaei et al., 2016). This Social Capital perspective suggests that effective interventions must therefore address not only individu</w:t>
      </w:r>
      <w:r>
        <w:rPr>
          <w:rFonts w:ascii="Times New Roman" w:hAnsi="Times New Roman" w:cs="Times New Roman"/>
          <w:b w:val="0"/>
          <w:i w:val="0"/>
          <w:color w:val="1A1A1A"/>
          <w:sz w:val="20"/>
        </w:rPr>
        <w:t>al beliefs about health or rights, but the entire structure of social reward and sanction that makes cutting a rational strategy for women seeking security, status, and belonging within their communities (Decatur, 2024). The evidence from Siha District—whe</w:t>
      </w:r>
      <w:r>
        <w:rPr>
          <w:rFonts w:ascii="Times New Roman" w:hAnsi="Times New Roman" w:cs="Times New Roman"/>
          <w:b w:val="0"/>
          <w:i w:val="0"/>
          <w:color w:val="1A1A1A"/>
          <w:sz w:val="20"/>
        </w:rPr>
        <w:t>re economic-empowerment programmes, the conversion of former circumcisers to alternative livelihoods, and the engagement of clan leaders as advocates have coincided with a documented decline in prevalence among schoolgirls (Friedrich Naumann Foundation, 20</w:t>
      </w:r>
      <w:r>
        <w:rPr>
          <w:rFonts w:ascii="Times New Roman" w:hAnsi="Times New Roman" w:cs="Times New Roman"/>
          <w:b w:val="0"/>
          <w:i w:val="0"/>
          <w:color w:val="1A1A1A"/>
          <w:sz w:val="20"/>
        </w:rPr>
        <w:t xml:space="preserve">22, 2025b)—indicates that understanding female circumcision as a form of capital accumulation within a patriarchal system points toward the necessity of creating alternative pathways through which women can achieve social and economic security without the </w:t>
      </w:r>
      <w:r>
        <w:rPr>
          <w:rFonts w:ascii="Times New Roman" w:hAnsi="Times New Roman" w:cs="Times New Roman"/>
          <w:b w:val="0"/>
          <w:i w:val="0"/>
          <w:color w:val="1A1A1A"/>
          <w:sz w:val="20"/>
        </w:rPr>
        <w:t>violent modification of their bodies (Friedrich Naumann Foundation, 2025a).</w:t>
      </w:r>
    </w:p>
    <w:p>
      <w:pPr>
        <w:keepNext/>
        <w:keepLines/>
        <w:spacing w:before="200" w:after="60"/>
      </w:pPr>
      <w:r>
        <w:rPr>
          <w:rFonts w:ascii="Times New Roman" w:hAnsi="Times New Roman" w:cs="Times New Roman"/>
          <w:b/>
          <w:i w:val="0"/>
          <w:color w:val="9C0E33"/>
          <w:sz w:val="21"/>
        </w:rPr>
        <w:t>REFERENCES</w:t>
      </w:r>
    </w:p>
    <w:p>
      <w:pPr>
        <w:spacing w:after="100"/>
        <w:ind w:left="360" w:hanging="360"/>
      </w:pPr>
      <w:r>
        <w:rPr>
          <w:rFonts w:ascii="Times New Roman" w:hAnsi="Times New Roman" w:cs="Times New Roman"/>
          <w:b w:val="0"/>
          <w:i w:val="0"/>
          <w:color w:val="1A1A1A"/>
          <w:sz w:val="18"/>
        </w:rPr>
        <w:t xml:space="preserve">Ahmadu, F. (1995). Rites and wrongs: An insider/outsider reflects on power and excision. In S. James &amp; C. Robertson (Eds.), </w:t>
      </w:r>
      <w:r>
        <w:rPr>
          <w:rFonts w:ascii="Times New Roman" w:hAnsi="Times New Roman" w:cs="Times New Roman"/>
          <w:b w:val="0"/>
          <w:i/>
          <w:color w:val="1A1A1A"/>
          <w:sz w:val="18"/>
        </w:rPr>
        <w:t>Genital cutting and transnational sisterh</w:t>
      </w:r>
      <w:r>
        <w:rPr>
          <w:rFonts w:ascii="Times New Roman" w:hAnsi="Times New Roman" w:cs="Times New Roman"/>
          <w:b w:val="0"/>
          <w:i/>
          <w:color w:val="1A1A1A"/>
          <w:sz w:val="18"/>
        </w:rPr>
        <w:t>ood</w:t>
      </w:r>
      <w:r>
        <w:rPr>
          <w:rFonts w:ascii="Times New Roman" w:hAnsi="Times New Roman" w:cs="Times New Roman"/>
          <w:b w:val="0"/>
          <w:i w:val="0"/>
          <w:color w:val="1A1A1A"/>
          <w:sz w:val="18"/>
        </w:rPr>
        <w:t xml:space="preserve"> (pp. 283–312). University of Illinois Press.</w:t>
      </w:r>
    </w:p>
    <w:p>
      <w:pPr>
        <w:spacing w:after="100"/>
        <w:ind w:left="360" w:hanging="360"/>
      </w:pPr>
      <w:r>
        <w:rPr>
          <w:rFonts w:ascii="Times New Roman" w:hAnsi="Times New Roman" w:cs="Times New Roman"/>
          <w:b w:val="0"/>
          <w:i w:val="0"/>
          <w:color w:val="1A1A1A"/>
          <w:sz w:val="18"/>
        </w:rPr>
        <w:t xml:space="preserve">Avalos, L. (2015). Female genital mutilation and customary law in Tanzania. </w:t>
      </w:r>
      <w:r>
        <w:rPr>
          <w:rFonts w:ascii="Times New Roman" w:hAnsi="Times New Roman" w:cs="Times New Roman"/>
          <w:b w:val="0"/>
          <w:i/>
          <w:color w:val="1A1A1A"/>
          <w:sz w:val="18"/>
        </w:rPr>
        <w:t>Law &amp; Social Inquiry</w:t>
      </w:r>
      <w:r>
        <w:rPr>
          <w:rFonts w:ascii="Times New Roman" w:hAnsi="Times New Roman" w:cs="Times New Roman"/>
          <w:b w:val="0"/>
          <w:i w:val="0"/>
          <w:color w:val="1A1A1A"/>
          <w:sz w:val="18"/>
        </w:rPr>
        <w:t>, 40(3), 656–685.</w:t>
      </w:r>
    </w:p>
    <w:p>
      <w:pPr>
        <w:spacing w:after="100"/>
        <w:ind w:left="360" w:hanging="360"/>
      </w:pPr>
      <w:r>
        <w:rPr>
          <w:rFonts w:ascii="Times New Roman" w:hAnsi="Times New Roman" w:cs="Times New Roman"/>
          <w:b w:val="0"/>
          <w:i w:val="0"/>
          <w:color w:val="1A1A1A"/>
          <w:sz w:val="18"/>
        </w:rPr>
        <w:t xml:space="preserve">Bourdieu, P. (1986). The forms of capital. In J. Richardson (Ed.), </w:t>
      </w:r>
      <w:r>
        <w:rPr>
          <w:rFonts w:ascii="Times New Roman" w:hAnsi="Times New Roman" w:cs="Times New Roman"/>
          <w:b w:val="0"/>
          <w:i/>
          <w:color w:val="1A1A1A"/>
          <w:sz w:val="18"/>
        </w:rPr>
        <w:t xml:space="preserve">Handbook of theory and </w:t>
      </w:r>
      <w:r>
        <w:rPr>
          <w:rFonts w:ascii="Times New Roman" w:hAnsi="Times New Roman" w:cs="Times New Roman"/>
          <w:b w:val="0"/>
          <w:i/>
          <w:color w:val="1A1A1A"/>
          <w:sz w:val="18"/>
        </w:rPr>
        <w:t>research for the sociology of education</w:t>
      </w:r>
      <w:r>
        <w:rPr>
          <w:rFonts w:ascii="Times New Roman" w:hAnsi="Times New Roman" w:cs="Times New Roman"/>
          <w:b w:val="0"/>
          <w:i w:val="0"/>
          <w:color w:val="1A1A1A"/>
          <w:sz w:val="18"/>
        </w:rPr>
        <w:t xml:space="preserve"> (pp. 241–258). Greenwood Press.</w:t>
      </w:r>
    </w:p>
    <w:p>
      <w:pPr>
        <w:spacing w:after="100"/>
        <w:ind w:left="360" w:hanging="360"/>
      </w:pPr>
      <w:r>
        <w:rPr>
          <w:rFonts w:ascii="Times New Roman" w:hAnsi="Times New Roman" w:cs="Times New Roman"/>
          <w:b w:val="0"/>
          <w:i w:val="0"/>
          <w:color w:val="1A1A1A"/>
          <w:sz w:val="18"/>
        </w:rPr>
        <w:t xml:space="preserve">Bowen, G. A. (2009). Document analysis as a qualitative research method. </w:t>
      </w:r>
      <w:r>
        <w:rPr>
          <w:rFonts w:ascii="Times New Roman" w:hAnsi="Times New Roman" w:cs="Times New Roman"/>
          <w:b w:val="0"/>
          <w:i/>
          <w:color w:val="1A1A1A"/>
          <w:sz w:val="18"/>
        </w:rPr>
        <w:t>Qualitative Research Journal</w:t>
      </w:r>
      <w:r>
        <w:rPr>
          <w:rFonts w:ascii="Times New Roman" w:hAnsi="Times New Roman" w:cs="Times New Roman"/>
          <w:b w:val="0"/>
          <w:i w:val="0"/>
          <w:color w:val="1A1A1A"/>
          <w:sz w:val="18"/>
        </w:rPr>
        <w:t>, 9(2), 27–40.</w:t>
      </w:r>
    </w:p>
    <w:p>
      <w:pPr>
        <w:spacing w:after="100"/>
        <w:ind w:left="360" w:hanging="360"/>
      </w:pPr>
      <w:r>
        <w:rPr>
          <w:rFonts w:ascii="Times New Roman" w:hAnsi="Times New Roman" w:cs="Times New Roman"/>
          <w:b w:val="0"/>
          <w:i w:val="0"/>
          <w:color w:val="1A1A1A"/>
          <w:sz w:val="18"/>
        </w:rPr>
        <w:t>Braun, V., &amp; Clarke, V. (2006). Using thematic analysis in psycholog</w:t>
      </w:r>
      <w:r>
        <w:rPr>
          <w:rFonts w:ascii="Times New Roman" w:hAnsi="Times New Roman" w:cs="Times New Roman"/>
          <w:b w:val="0"/>
          <w:i w:val="0"/>
          <w:color w:val="1A1A1A"/>
          <w:sz w:val="18"/>
        </w:rPr>
        <w:t xml:space="preserve">y. </w:t>
      </w:r>
      <w:r>
        <w:rPr>
          <w:rFonts w:ascii="Times New Roman" w:hAnsi="Times New Roman" w:cs="Times New Roman"/>
          <w:b w:val="0"/>
          <w:i/>
          <w:color w:val="1A1A1A"/>
          <w:sz w:val="18"/>
        </w:rPr>
        <w:t>Qualitative Research in Psychology</w:t>
      </w:r>
      <w:r>
        <w:rPr>
          <w:rFonts w:ascii="Times New Roman" w:hAnsi="Times New Roman" w:cs="Times New Roman"/>
          <w:b w:val="0"/>
          <w:i w:val="0"/>
          <w:color w:val="1A1A1A"/>
          <w:sz w:val="18"/>
        </w:rPr>
        <w:t>, 3(2), 77–101.</w:t>
      </w:r>
    </w:p>
    <w:p>
      <w:pPr>
        <w:spacing w:after="100"/>
        <w:ind w:left="360" w:hanging="360"/>
      </w:pPr>
      <w:r>
        <w:rPr>
          <w:rFonts w:ascii="Times New Roman" w:hAnsi="Times New Roman" w:cs="Times New Roman"/>
          <w:b w:val="0"/>
          <w:i w:val="0"/>
          <w:color w:val="1A1A1A"/>
          <w:sz w:val="18"/>
        </w:rPr>
        <w:t xml:space="preserve">Coleman, J. S. (1988). Social capital in the creation of human capital. </w:t>
      </w:r>
      <w:r>
        <w:rPr>
          <w:rFonts w:ascii="Times New Roman" w:hAnsi="Times New Roman" w:cs="Times New Roman"/>
          <w:b w:val="0"/>
          <w:i/>
          <w:color w:val="1A1A1A"/>
          <w:sz w:val="18"/>
        </w:rPr>
        <w:t>American Journal of Sociology</w:t>
      </w:r>
      <w:r>
        <w:rPr>
          <w:rFonts w:ascii="Times New Roman" w:hAnsi="Times New Roman" w:cs="Times New Roman"/>
          <w:b w:val="0"/>
          <w:i w:val="0"/>
          <w:color w:val="1A1A1A"/>
          <w:sz w:val="18"/>
        </w:rPr>
        <w:t>, 94, S95–S120.</w:t>
      </w:r>
    </w:p>
    <w:p>
      <w:pPr>
        <w:spacing w:after="100"/>
        <w:ind w:left="360" w:hanging="360"/>
      </w:pPr>
      <w:r>
        <w:rPr>
          <w:rFonts w:ascii="Times New Roman" w:hAnsi="Times New Roman" w:cs="Times New Roman"/>
          <w:b w:val="0"/>
          <w:i w:val="0"/>
          <w:color w:val="1A1A1A"/>
          <w:sz w:val="18"/>
        </w:rPr>
        <w:t xml:space="preserve">Creswell, J. W., &amp; Poth, C. N. (2018). </w:t>
      </w:r>
      <w:r>
        <w:rPr>
          <w:rFonts w:ascii="Times New Roman" w:hAnsi="Times New Roman" w:cs="Times New Roman"/>
          <w:b w:val="0"/>
          <w:i/>
          <w:color w:val="1A1A1A"/>
          <w:sz w:val="18"/>
        </w:rPr>
        <w:t>Qualitative inquiry and research design: Choosi</w:t>
      </w:r>
      <w:r>
        <w:rPr>
          <w:rFonts w:ascii="Times New Roman" w:hAnsi="Times New Roman" w:cs="Times New Roman"/>
          <w:b w:val="0"/>
          <w:i/>
          <w:color w:val="1A1A1A"/>
          <w:sz w:val="18"/>
        </w:rPr>
        <w:t>ng among five approaches</w:t>
      </w:r>
      <w:r>
        <w:rPr>
          <w:rFonts w:ascii="Times New Roman" w:hAnsi="Times New Roman" w:cs="Times New Roman"/>
          <w:b w:val="0"/>
          <w:i w:val="0"/>
          <w:color w:val="1A1A1A"/>
          <w:sz w:val="18"/>
        </w:rPr>
        <w:t xml:space="preserve"> (4th ed.). SAGE Publications.</w:t>
      </w:r>
    </w:p>
    <w:p>
      <w:pPr>
        <w:spacing w:after="100"/>
        <w:ind w:left="360" w:hanging="360"/>
      </w:pPr>
      <w:r>
        <w:rPr>
          <w:rFonts w:ascii="Times New Roman" w:hAnsi="Times New Roman" w:cs="Times New Roman"/>
          <w:b w:val="0"/>
          <w:i w:val="0"/>
          <w:color w:val="1A1A1A"/>
          <w:sz w:val="18"/>
        </w:rPr>
        <w:t xml:space="preserve">Decatur, M.-A. V. (2024). Complementary and disparate: Conceptualising female and male genital cutting in northern Tanzania [Doctoral dissertation, SOAS University of London]. </w:t>
      </w:r>
      <w:hyperlink r:id="rId15">
        <w:r>
          <w:rPr>
            <w:rFonts w:ascii="Times New Roman" w:hAnsi="Times New Roman" w:cs="Times New Roman"/>
            <w:color w:val="0563C1"/>
            <w:u w:val="single"/>
            <w:sz w:val="18"/>
            <w:szCs w:val="18"/>
          </w:rPr>
          <w:t xml:space="preserve">https://doi.org/10.25501/SOAS.00041259</w:t>
        </w:r>
      </w:hyperlink>
    </w:p>
    <w:p>
      <w:pPr>
        <w:spacing w:after="100"/>
        <w:ind w:left="360" w:hanging="360"/>
      </w:pPr>
      <w:r>
        <w:rPr>
          <w:rFonts w:ascii="Times New Roman" w:hAnsi="Times New Roman" w:cs="Times New Roman"/>
          <w:b w:val="0"/>
          <w:i w:val="0"/>
          <w:color w:val="1A1A1A"/>
          <w:sz w:val="18"/>
        </w:rPr>
        <w:t xml:space="preserve">Esho, T., Enzlin, P., &amp; Van Wolputte, S. (2013). </w:t>
      </w:r>
      <w:r>
        <w:rPr>
          <w:rFonts w:ascii="Times New Roman" w:hAnsi="Times New Roman" w:cs="Times New Roman"/>
          <w:b w:val="0"/>
          <w:i/>
          <w:color w:val="1A1A1A"/>
          <w:sz w:val="18"/>
        </w:rPr>
        <w:t>Borders of the present: Maasai tradition, modernity, and female identity</w:t>
      </w:r>
      <w:r>
        <w:rPr>
          <w:rFonts w:ascii="Times New Roman" w:hAnsi="Times New Roman" w:cs="Times New Roman"/>
          <w:b w:val="0"/>
          <w:i w:val="0"/>
          <w:color w:val="1A1A1A"/>
          <w:sz w:val="18"/>
        </w:rPr>
        <w:t>. FGM Data Hub.</w:t>
      </w:r>
    </w:p>
    <w:p>
      <w:pPr>
        <w:spacing w:after="100"/>
        <w:ind w:left="360" w:hanging="360"/>
      </w:pPr>
      <w:r>
        <w:rPr>
          <w:rFonts w:ascii="Times New Roman" w:hAnsi="Times New Roman" w:cs="Times New Roman"/>
          <w:b w:val="0"/>
          <w:i w:val="0"/>
          <w:color w:val="1A1A1A"/>
          <w:sz w:val="18"/>
        </w:rPr>
        <w:t xml:space="preserve">Ezenwanebe, O. (2019). Female genital mutilation and socioeconomic development in Africa. </w:t>
      </w:r>
      <w:r>
        <w:rPr>
          <w:rFonts w:ascii="Times New Roman" w:hAnsi="Times New Roman" w:cs="Times New Roman"/>
          <w:b w:val="0"/>
          <w:i/>
          <w:color w:val="1A1A1A"/>
          <w:sz w:val="18"/>
        </w:rPr>
        <w:t>Journal of African Development</w:t>
      </w:r>
      <w:r>
        <w:rPr>
          <w:rFonts w:ascii="Times New Roman" w:hAnsi="Times New Roman" w:cs="Times New Roman"/>
          <w:b w:val="0"/>
          <w:i w:val="0"/>
          <w:color w:val="1A1A1A"/>
          <w:sz w:val="18"/>
        </w:rPr>
        <w:t>, 21(1), 45–68.</w:t>
      </w:r>
    </w:p>
    <w:p>
      <w:pPr>
        <w:spacing w:after="100"/>
        <w:ind w:left="360" w:hanging="360"/>
      </w:pPr>
      <w:r>
        <w:rPr>
          <w:rFonts w:ascii="Times New Roman" w:hAnsi="Times New Roman" w:cs="Times New Roman"/>
          <w:b w:val="0"/>
          <w:i w:val="0"/>
          <w:color w:val="1A1A1A"/>
          <w:sz w:val="18"/>
        </w:rPr>
        <w:t>Friedrich Naumann Foundation. (2022, February 7). Women empowerment: Challenging social norms that violate the rights of</w:t>
      </w:r>
      <w:r>
        <w:rPr>
          <w:rFonts w:ascii="Times New Roman" w:hAnsi="Times New Roman" w:cs="Times New Roman"/>
          <w:b w:val="0"/>
          <w:i w:val="0"/>
          <w:color w:val="1A1A1A"/>
          <w:sz w:val="18"/>
        </w:rPr>
        <w:t xml:space="preserve"> women in Maasai communities. </w:t>
      </w:r>
      <w:hyperlink r:id="rId16">
        <w:r>
          <w:rPr>
            <w:rFonts w:ascii="Times New Roman" w:hAnsi="Times New Roman" w:cs="Times New Roman"/>
            <w:color w:val="0563C1"/>
            <w:u w:val="single"/>
            <w:sz w:val="18"/>
            <w:szCs w:val="18"/>
          </w:rPr>
          <w:t xml:space="preserve">https://www.freiheit.org/tansania/challenging-social-norms-violate-rights-women-maasai-communities</w:t>
        </w:r>
      </w:hyperlink>
    </w:p>
    <w:p>
      <w:pPr>
        <w:spacing w:after="100"/>
        <w:ind w:left="360" w:hanging="360"/>
      </w:pPr>
      <w:r>
        <w:rPr>
          <w:rFonts w:ascii="Times New Roman" w:hAnsi="Times New Roman" w:cs="Times New Roman"/>
          <w:b w:val="0"/>
          <w:i w:val="0"/>
          <w:color w:val="1A1A1A"/>
          <w:sz w:val="18"/>
        </w:rPr>
        <w:t xml:space="preserve">Friedrich Naumann Foundation. (2024, November 5). Human rights: Tanzanian Maasai voices in transformative bid to tackle early marriages and GBV. </w:t>
      </w:r>
      <w:hyperlink r:id="rId17">
        <w:r>
          <w:rPr>
            <w:rFonts w:ascii="Times New Roman" w:hAnsi="Times New Roman" w:cs="Times New Roman"/>
            <w:color w:val="0563C1"/>
            <w:u w:val="single"/>
            <w:sz w:val="18"/>
            <w:szCs w:val="18"/>
          </w:rPr>
          <w:t xml:space="preserve">https://www.freiheit.org/el/node/45082</w:t>
        </w:r>
      </w:hyperlink>
    </w:p>
    <w:p>
      <w:pPr>
        <w:spacing w:after="100"/>
        <w:ind w:left="360" w:hanging="360"/>
      </w:pPr>
      <w:r>
        <w:rPr>
          <w:rFonts w:ascii="Times New Roman" w:hAnsi="Times New Roman" w:cs="Times New Roman"/>
          <w:b w:val="0"/>
          <w:i w:val="0"/>
          <w:color w:val="1A1A1A"/>
          <w:sz w:val="18"/>
        </w:rPr>
        <w:t xml:space="preserve">Friedrich Naumann Foundation. (2025a). International Women's Day: A safe society for development – The fight against FGM in Tanzania. </w:t>
      </w:r>
      <w:hyperlink r:id="rId18">
        <w:r>
          <w:rPr>
            <w:rFonts w:ascii="Times New Roman" w:hAnsi="Times New Roman" w:cs="Times New Roman"/>
            <w:color w:val="0563C1"/>
            <w:u w:val="single"/>
            <w:sz w:val="18"/>
            <w:szCs w:val="18"/>
          </w:rPr>
          <w:t xml:space="preserve">https://www.freiheit.org/human-rights-hub-geneva/safe-society-development-fight-against-fgm-tanzania</w:t>
        </w:r>
      </w:hyperlink>
    </w:p>
    <w:p>
      <w:pPr>
        <w:spacing w:after="100"/>
        <w:ind w:left="360" w:hanging="360"/>
      </w:pPr>
      <w:r>
        <w:rPr>
          <w:rFonts w:ascii="Times New Roman" w:hAnsi="Times New Roman" w:cs="Times New Roman"/>
          <w:b w:val="0"/>
          <w:i w:val="0"/>
          <w:color w:val="1A1A1A"/>
          <w:sz w:val="18"/>
        </w:rPr>
        <w:t>Friedrich Naumann Foundation. (2025b). New docum</w:t>
      </w:r>
      <w:r>
        <w:rPr>
          <w:rFonts w:ascii="Times New Roman" w:hAnsi="Times New Roman" w:cs="Times New Roman"/>
          <w:b w:val="0"/>
          <w:i w:val="0"/>
          <w:color w:val="1A1A1A"/>
          <w:sz w:val="18"/>
        </w:rPr>
        <w:t xml:space="preserve">entary highlights the fight to end female genital mutilation in Siha District. </w:t>
      </w:r>
      <w:hyperlink r:id="rId19">
        <w:r>
          <w:rPr>
            <w:rFonts w:ascii="Times New Roman" w:hAnsi="Times New Roman" w:cs="Times New Roman"/>
            <w:color w:val="0563C1"/>
            <w:u w:val="single"/>
            <w:sz w:val="18"/>
            <w:szCs w:val="18"/>
          </w:rPr>
          <w:t xml:space="preserve">https://www.freiheit.org/pressemitteilung/new-documentary-highlights-fight-end-female-genital-mutilation-siha-district</w:t>
        </w:r>
      </w:hyperlink>
    </w:p>
    <w:p>
      <w:pPr>
        <w:spacing w:after="100"/>
        <w:ind w:left="360" w:hanging="360"/>
      </w:pPr>
      <w:r>
        <w:rPr>
          <w:rFonts w:ascii="Times New Roman" w:hAnsi="Times New Roman" w:cs="Times New Roman"/>
          <w:b w:val="0"/>
          <w:i w:val="0"/>
          <w:color w:val="1A1A1A"/>
          <w:sz w:val="18"/>
        </w:rPr>
        <w:t xml:space="preserve">Gruenbaum, E. (2001). </w:t>
      </w:r>
      <w:r>
        <w:rPr>
          <w:rFonts w:ascii="Times New Roman" w:hAnsi="Times New Roman" w:cs="Times New Roman"/>
          <w:b w:val="0"/>
          <w:i/>
          <w:color w:val="1A1A1A"/>
          <w:sz w:val="18"/>
        </w:rPr>
        <w:t xml:space="preserve">The female circumcision controversy: An anthropological perspective. </w:t>
      </w:r>
      <w:r>
        <w:rPr>
          <w:rFonts w:ascii="Times New Roman" w:hAnsi="Times New Roman" w:cs="Times New Roman"/>
          <w:b w:val="0"/>
          <w:i w:val="0"/>
          <w:color w:val="1A1A1A"/>
          <w:sz w:val="18"/>
        </w:rPr>
        <w:t>University of Pennsylvania Press.</w:t>
      </w:r>
    </w:p>
    <w:p>
      <w:pPr>
        <w:spacing w:after="100"/>
        <w:ind w:left="360" w:hanging="360"/>
      </w:pPr>
      <w:r>
        <w:rPr>
          <w:rFonts w:ascii="Times New Roman" w:hAnsi="Times New Roman" w:cs="Times New Roman"/>
          <w:b w:val="0"/>
          <w:i w:val="0"/>
          <w:color w:val="1A1A1A"/>
          <w:sz w:val="18"/>
        </w:rPr>
        <w:t>Johansen, R. E. B., Ziyada, M. M., &amp; Shell-Duncan, B. (2018)</w:t>
      </w:r>
      <w:r>
        <w:rPr>
          <w:rFonts w:ascii="Times New Roman" w:hAnsi="Times New Roman" w:cs="Times New Roman"/>
          <w:b w:val="0"/>
          <w:i/>
          <w:color w:val="1A1A1A"/>
          <w:sz w:val="18"/>
        </w:rPr>
        <w:t>.</w:t>
      </w:r>
      <w:r>
        <w:rPr>
          <w:rFonts w:ascii="Times New Roman" w:hAnsi="Times New Roman" w:cs="Times New Roman"/>
          <w:b w:val="0"/>
          <w:i w:val="0"/>
          <w:color w:val="1A1A1A"/>
          <w:sz w:val="18"/>
        </w:rPr>
        <w:t xml:space="preserve"> Health consequences of female genital mutilation: A systematic review</w:t>
      </w:r>
      <w:r>
        <w:rPr>
          <w:rFonts w:ascii="Times New Roman" w:hAnsi="Times New Roman" w:cs="Times New Roman"/>
          <w:b w:val="0"/>
          <w:i/>
          <w:color w:val="1A1A1A"/>
          <w:sz w:val="18"/>
        </w:rPr>
        <w:t>. BMJ Global Health</w:t>
      </w:r>
      <w:r>
        <w:rPr>
          <w:rFonts w:ascii="Times New Roman" w:hAnsi="Times New Roman" w:cs="Times New Roman"/>
          <w:b w:val="0"/>
          <w:i w:val="0"/>
          <w:color w:val="1A1A1A"/>
          <w:sz w:val="18"/>
        </w:rPr>
        <w:t>, 3(5), e000858.</w:t>
      </w:r>
    </w:p>
    <w:p>
      <w:pPr>
        <w:spacing w:after="100"/>
        <w:ind w:left="360" w:hanging="360"/>
      </w:pPr>
      <w:r>
        <w:rPr>
          <w:rFonts w:ascii="Times New Roman" w:hAnsi="Times New Roman" w:cs="Times New Roman"/>
          <w:b w:val="0"/>
          <w:i w:val="0"/>
          <w:color w:val="1A1A1A"/>
          <w:sz w:val="18"/>
        </w:rPr>
        <w:t>Kaplan, A., Hechavarría, S., Martín, M., &amp; Bonhoure, I. (2013). Health consequences of fe</w:t>
      </w:r>
      <w:r>
        <w:rPr>
          <w:rFonts w:ascii="Times New Roman" w:hAnsi="Times New Roman" w:cs="Times New Roman"/>
          <w:b w:val="0"/>
          <w:i w:val="0"/>
          <w:color w:val="1A1A1A"/>
          <w:sz w:val="18"/>
        </w:rPr>
        <w:t xml:space="preserve">male genital mutilation/cutting in the Gambia: Evidence into action. </w:t>
      </w:r>
      <w:r>
        <w:rPr>
          <w:rFonts w:ascii="Times New Roman" w:hAnsi="Times New Roman" w:cs="Times New Roman"/>
          <w:b w:val="0"/>
          <w:i/>
          <w:color w:val="1A1A1A"/>
          <w:sz w:val="18"/>
        </w:rPr>
        <w:t>Reproductive Health</w:t>
      </w:r>
      <w:r>
        <w:rPr>
          <w:rFonts w:ascii="Times New Roman" w:hAnsi="Times New Roman" w:cs="Times New Roman"/>
          <w:b w:val="0"/>
          <w:i w:val="0"/>
          <w:color w:val="1A1A1A"/>
          <w:sz w:val="18"/>
        </w:rPr>
        <w:t>, 10(1), 32–41.</w:t>
      </w:r>
    </w:p>
    <w:p>
      <w:pPr>
        <w:spacing w:after="100"/>
        <w:ind w:left="360" w:hanging="360"/>
      </w:pPr>
      <w:r>
        <w:rPr>
          <w:rFonts w:ascii="Times New Roman" w:hAnsi="Times New Roman" w:cs="Times New Roman"/>
          <w:b w:val="0"/>
          <w:i w:val="0"/>
          <w:color w:val="1A1A1A"/>
          <w:sz w:val="18"/>
        </w:rPr>
        <w:t>Krueger, R. A., &amp; Casey, M. A. (2015).</w:t>
      </w:r>
      <w:r>
        <w:rPr>
          <w:rFonts w:ascii="Times New Roman" w:hAnsi="Times New Roman" w:cs="Times New Roman"/>
          <w:b w:val="0"/>
          <w:i/>
          <w:color w:val="1A1A1A"/>
          <w:sz w:val="18"/>
        </w:rPr>
        <w:t xml:space="preserve"> Focus groups: A practical guide for applied research</w:t>
      </w:r>
      <w:r>
        <w:rPr>
          <w:rFonts w:ascii="Times New Roman" w:hAnsi="Times New Roman" w:cs="Times New Roman"/>
          <w:b w:val="0"/>
          <w:i w:val="0"/>
          <w:color w:val="1A1A1A"/>
          <w:sz w:val="18"/>
        </w:rPr>
        <w:t xml:space="preserve"> (5th ed.). SAGE Publications.</w:t>
      </w:r>
    </w:p>
    <w:p>
      <w:pPr>
        <w:spacing w:after="100"/>
        <w:ind w:left="360" w:hanging="360"/>
      </w:pPr>
      <w:r>
        <w:rPr>
          <w:rFonts w:ascii="Times New Roman" w:hAnsi="Times New Roman" w:cs="Times New Roman"/>
          <w:b w:val="0"/>
          <w:i w:val="0"/>
          <w:color w:val="1A1A1A"/>
          <w:sz w:val="18"/>
        </w:rPr>
        <w:t>Kvale, S., &amp; Brinkmann, S. (20</w:t>
      </w:r>
      <w:r>
        <w:rPr>
          <w:rFonts w:ascii="Times New Roman" w:hAnsi="Times New Roman" w:cs="Times New Roman"/>
          <w:b w:val="0"/>
          <w:i w:val="0"/>
          <w:color w:val="1A1A1A"/>
          <w:sz w:val="18"/>
        </w:rPr>
        <w:t xml:space="preserve">09). </w:t>
      </w:r>
      <w:r>
        <w:rPr>
          <w:rFonts w:ascii="Times New Roman" w:hAnsi="Times New Roman" w:cs="Times New Roman"/>
          <w:b w:val="0"/>
          <w:i/>
          <w:color w:val="1A1A1A"/>
          <w:sz w:val="18"/>
        </w:rPr>
        <w:t>InterViews: Learning the craft of qualitative research interviewing</w:t>
      </w:r>
      <w:r>
        <w:rPr>
          <w:rFonts w:ascii="Times New Roman" w:hAnsi="Times New Roman" w:cs="Times New Roman"/>
          <w:b w:val="0"/>
          <w:i w:val="0"/>
          <w:color w:val="1A1A1A"/>
          <w:sz w:val="18"/>
        </w:rPr>
        <w:t xml:space="preserve"> (2nd ed.). SAGE Publications.</w:t>
      </w:r>
    </w:p>
    <w:p>
      <w:pPr>
        <w:spacing w:after="100"/>
        <w:ind w:left="360" w:hanging="360"/>
      </w:pPr>
      <w:r>
        <w:rPr>
          <w:rFonts w:ascii="Times New Roman" w:hAnsi="Times New Roman" w:cs="Times New Roman"/>
          <w:b w:val="0"/>
          <w:i w:val="0"/>
          <w:color w:val="1A1A1A"/>
          <w:sz w:val="18"/>
        </w:rPr>
        <w:t xml:space="preserve">Merriam, S. B., &amp; Tisdell, E. J. (2016). </w:t>
      </w:r>
      <w:r>
        <w:rPr>
          <w:rFonts w:ascii="Times New Roman" w:hAnsi="Times New Roman" w:cs="Times New Roman"/>
          <w:b w:val="0"/>
          <w:i/>
          <w:color w:val="1A1A1A"/>
          <w:sz w:val="18"/>
        </w:rPr>
        <w:t>Qualitative research: A guide to design and implementation</w:t>
      </w:r>
      <w:r>
        <w:rPr>
          <w:rFonts w:ascii="Times New Roman" w:hAnsi="Times New Roman" w:cs="Times New Roman"/>
          <w:b w:val="0"/>
          <w:i w:val="0"/>
          <w:color w:val="1A1A1A"/>
          <w:sz w:val="18"/>
        </w:rPr>
        <w:t xml:space="preserve"> (4th ed.). Jossey-Bass.</w:t>
      </w:r>
    </w:p>
    <w:p>
      <w:pPr>
        <w:spacing w:after="100"/>
        <w:ind w:left="360" w:hanging="360"/>
      </w:pPr>
      <w:r>
        <w:rPr>
          <w:rFonts w:ascii="Times New Roman" w:hAnsi="Times New Roman" w:cs="Times New Roman"/>
          <w:b w:val="0"/>
          <w:i w:val="0"/>
          <w:color w:val="1A1A1A"/>
          <w:sz w:val="18"/>
        </w:rPr>
        <w:t xml:space="preserve">Noy, C. (2008). Sampling </w:t>
      </w:r>
      <w:r>
        <w:rPr>
          <w:rFonts w:ascii="Times New Roman" w:hAnsi="Times New Roman" w:cs="Times New Roman"/>
          <w:b w:val="0"/>
          <w:i w:val="0"/>
          <w:color w:val="1A1A1A"/>
          <w:sz w:val="18"/>
        </w:rPr>
        <w:t>knowledge: The hermeneutics of snowball sampling in qualitative research. International Journal of Social Research Methodology, 11(4), 327–344.</w:t>
      </w:r>
    </w:p>
    <w:p>
      <w:pPr>
        <w:spacing w:after="100"/>
        <w:ind w:left="360" w:hanging="360"/>
      </w:pPr>
      <w:r>
        <w:rPr>
          <w:rFonts w:ascii="Times New Roman" w:hAnsi="Times New Roman" w:cs="Times New Roman"/>
          <w:b w:val="0"/>
          <w:i w:val="0"/>
          <w:color w:val="1A1A1A"/>
          <w:sz w:val="18"/>
        </w:rPr>
        <w:t xml:space="preserve">Patton, M. Q. (2015). </w:t>
      </w:r>
      <w:r>
        <w:rPr>
          <w:rFonts w:ascii="Times New Roman" w:hAnsi="Times New Roman" w:cs="Times New Roman"/>
          <w:b w:val="0"/>
          <w:i/>
          <w:color w:val="1A1A1A"/>
          <w:sz w:val="18"/>
        </w:rPr>
        <w:t>Qualitative research and evaluation methods</w:t>
      </w:r>
      <w:r>
        <w:rPr>
          <w:rFonts w:ascii="Times New Roman" w:hAnsi="Times New Roman" w:cs="Times New Roman"/>
          <w:b w:val="0"/>
          <w:i w:val="0"/>
          <w:color w:val="1A1A1A"/>
          <w:sz w:val="18"/>
        </w:rPr>
        <w:t xml:space="preserve"> (4th ed.). SAGE Publications.</w:t>
      </w:r>
    </w:p>
    <w:p>
      <w:pPr>
        <w:spacing w:after="100"/>
        <w:ind w:left="360" w:hanging="360"/>
      </w:pPr>
      <w:r>
        <w:rPr>
          <w:rFonts w:ascii="Times New Roman" w:hAnsi="Times New Roman" w:cs="Times New Roman"/>
          <w:b w:val="0"/>
          <w:i w:val="0"/>
          <w:color w:val="1A1A1A"/>
          <w:sz w:val="18"/>
        </w:rPr>
        <w:t>Putnam, R. D. (2</w:t>
      </w:r>
      <w:r>
        <w:rPr>
          <w:rFonts w:ascii="Times New Roman" w:hAnsi="Times New Roman" w:cs="Times New Roman"/>
          <w:b w:val="0"/>
          <w:i w:val="0"/>
          <w:color w:val="1A1A1A"/>
          <w:sz w:val="18"/>
        </w:rPr>
        <w:t xml:space="preserve">000). </w:t>
      </w:r>
      <w:r>
        <w:rPr>
          <w:rFonts w:ascii="Times New Roman" w:hAnsi="Times New Roman" w:cs="Times New Roman"/>
          <w:b w:val="0"/>
          <w:i/>
          <w:color w:val="1A1A1A"/>
          <w:sz w:val="18"/>
        </w:rPr>
        <w:t>Bowling alone: The collapse and revival of American community</w:t>
      </w:r>
      <w:r>
        <w:rPr>
          <w:rFonts w:ascii="Times New Roman" w:hAnsi="Times New Roman" w:cs="Times New Roman"/>
          <w:b w:val="0"/>
          <w:i w:val="0"/>
          <w:color w:val="1A1A1A"/>
          <w:sz w:val="18"/>
        </w:rPr>
        <w:t>. Simon &amp; Schuster.</w:t>
      </w:r>
    </w:p>
    <w:p>
      <w:pPr>
        <w:spacing w:after="100"/>
        <w:ind w:left="360" w:hanging="360"/>
      </w:pPr>
      <w:r>
        <w:rPr>
          <w:rFonts w:ascii="Times New Roman" w:hAnsi="Times New Roman" w:cs="Times New Roman"/>
          <w:b w:val="0"/>
          <w:i w:val="0"/>
          <w:color w:val="1A1A1A"/>
          <w:sz w:val="18"/>
        </w:rPr>
        <w:t>Refaei, M., Al-Refaei, A., &amp; Al-Najjar, H. (2016). Social consequences of female genital mutilation. Middle East Journal of Nursing, 10(3), 12–19.</w:t>
      </w:r>
    </w:p>
    <w:p>
      <w:pPr>
        <w:spacing w:after="100"/>
        <w:ind w:left="360" w:hanging="360"/>
      </w:pPr>
      <w:r>
        <w:rPr>
          <w:rFonts w:ascii="Times New Roman" w:hAnsi="Times New Roman" w:cs="Times New Roman"/>
          <w:b w:val="0"/>
          <w:i w:val="0"/>
          <w:color w:val="1A1A1A"/>
          <w:sz w:val="18"/>
        </w:rPr>
        <w:t>Shell-Duncan, B., Obie</w:t>
      </w:r>
      <w:r>
        <w:rPr>
          <w:rFonts w:ascii="Times New Roman" w:hAnsi="Times New Roman" w:cs="Times New Roman"/>
          <w:b w:val="0"/>
          <w:i w:val="0"/>
          <w:color w:val="1A1A1A"/>
          <w:sz w:val="18"/>
        </w:rPr>
        <w:t xml:space="preserve">ro, W. O., &amp; Muruli, L. A. (2001). </w:t>
      </w:r>
      <w:r>
        <w:rPr>
          <w:rFonts w:ascii="Times New Roman" w:hAnsi="Times New Roman" w:cs="Times New Roman"/>
          <w:b w:val="0"/>
          <w:i/>
          <w:color w:val="1A1A1A"/>
          <w:sz w:val="18"/>
        </w:rPr>
        <w:t>Female circumcision in Africa: Culture, controversy, and change.</w:t>
      </w:r>
      <w:r>
        <w:rPr>
          <w:rFonts w:ascii="Times New Roman" w:hAnsi="Times New Roman" w:cs="Times New Roman"/>
          <w:b w:val="0"/>
          <w:i w:val="0"/>
          <w:color w:val="1A1A1A"/>
          <w:sz w:val="18"/>
        </w:rPr>
        <w:t xml:space="preserve"> Lynne Rienner Publishers.</w:t>
      </w:r>
    </w:p>
    <w:p>
      <w:pPr>
        <w:spacing w:after="100"/>
        <w:ind w:left="360" w:hanging="360"/>
      </w:pPr>
      <w:r>
        <w:rPr>
          <w:rFonts w:ascii="Times New Roman" w:hAnsi="Times New Roman" w:cs="Times New Roman"/>
          <w:b w:val="0"/>
          <w:i w:val="0"/>
          <w:color w:val="1A1A1A"/>
          <w:sz w:val="18"/>
        </w:rPr>
        <w:t>Talle, A. (1994). The making of female fertility: Anthropological perspectives on a bodily issue. Acta Obstetricia et Gynecologica</w:t>
      </w:r>
      <w:r>
        <w:rPr>
          <w:rFonts w:ascii="Times New Roman" w:hAnsi="Times New Roman" w:cs="Times New Roman"/>
          <w:b w:val="0"/>
          <w:i w:val="0"/>
          <w:color w:val="1A1A1A"/>
          <w:sz w:val="18"/>
        </w:rPr>
        <w:t xml:space="preserve"> Scandinavica, 73(4), 280–283.</w:t>
      </w:r>
    </w:p>
    <w:p>
      <w:pPr>
        <w:spacing w:after="100"/>
        <w:ind w:left="360" w:hanging="360"/>
      </w:pPr>
      <w:r>
        <w:rPr>
          <w:rFonts w:ascii="Times New Roman" w:hAnsi="Times New Roman" w:cs="Times New Roman"/>
          <w:b w:val="0"/>
          <w:i w:val="0"/>
          <w:color w:val="1A1A1A"/>
          <w:sz w:val="18"/>
        </w:rPr>
        <w:t>UNICEF. (2020). Female genital mutilation: A global concern. United Nations Children's Fund.</w:t>
      </w:r>
    </w:p>
    <w:p>
      <w:pPr>
        <w:spacing w:after="100"/>
        <w:ind w:left="360" w:hanging="360"/>
      </w:pPr>
      <w:r>
        <w:rPr>
          <w:rFonts w:ascii="Times New Roman" w:hAnsi="Times New Roman" w:cs="Times New Roman"/>
          <w:b w:val="0"/>
          <w:i w:val="0"/>
          <w:color w:val="1A1A1A"/>
          <w:sz w:val="18"/>
        </w:rPr>
        <w:t xml:space="preserve">van Bavel, H., Leye, E., &amp; Coene, G. (2018, April 19). How practices, and meaning, of genital cutting are changing in Tanzania. The </w:t>
      </w:r>
      <w:r>
        <w:rPr>
          <w:rFonts w:ascii="Times New Roman" w:hAnsi="Times New Roman" w:cs="Times New Roman"/>
          <w:b w:val="0"/>
          <w:i w:val="0"/>
          <w:color w:val="1A1A1A"/>
          <w:sz w:val="18"/>
        </w:rPr>
        <w:t>Conversation.</w:t>
      </w:r>
    </w:p>
    <w:p>
      <w:pPr>
        <w:spacing w:after="100"/>
        <w:ind w:left="360" w:hanging="360"/>
      </w:pPr>
      <w:r>
        <w:rPr>
          <w:rFonts w:ascii="Times New Roman" w:hAnsi="Times New Roman" w:cs="Times New Roman"/>
          <w:b w:val="0"/>
          <w:i w:val="0"/>
          <w:color w:val="1A1A1A"/>
          <w:sz w:val="18"/>
        </w:rPr>
        <w:t xml:space="preserve">Wagner, N. (2015). Female genital mutilation and long-term health impairments. </w:t>
      </w:r>
      <w:r>
        <w:rPr>
          <w:rFonts w:ascii="Times New Roman" w:hAnsi="Times New Roman" w:cs="Times New Roman"/>
          <w:b w:val="0"/>
          <w:i/>
          <w:color w:val="1A1A1A"/>
          <w:sz w:val="18"/>
        </w:rPr>
        <w:t>World Development,</w:t>
      </w:r>
      <w:r>
        <w:rPr>
          <w:rFonts w:ascii="Times New Roman" w:hAnsi="Times New Roman" w:cs="Times New Roman"/>
          <w:b w:val="0"/>
          <w:i w:val="0"/>
          <w:color w:val="1A1A1A"/>
          <w:sz w:val="18"/>
        </w:rPr>
        <w:t xml:space="preserve"> 76, 24–38.</w:t>
      </w:r>
    </w:p>
    <w:p>
      <w:pPr>
        <w:spacing w:after="100"/>
        <w:ind w:left="360" w:hanging="360"/>
      </w:pPr>
      <w:r>
        <w:rPr>
          <w:rFonts w:ascii="Times New Roman" w:hAnsi="Times New Roman" w:cs="Times New Roman"/>
          <w:b w:val="0"/>
          <w:i w:val="0"/>
          <w:color w:val="1A1A1A"/>
          <w:sz w:val="18"/>
        </w:rPr>
        <w:t>World Medical Association. (2013). World Medical Association Declaration of Helsinki: Ethical principles for medical research involvi</w:t>
      </w:r>
      <w:r>
        <w:rPr>
          <w:rFonts w:ascii="Times New Roman" w:hAnsi="Times New Roman" w:cs="Times New Roman"/>
          <w:b w:val="0"/>
          <w:i w:val="0"/>
          <w:color w:val="1A1A1A"/>
          <w:sz w:val="18"/>
        </w:rPr>
        <w:t xml:space="preserve">ng human subjects. </w:t>
      </w:r>
      <w:r>
        <w:rPr>
          <w:rFonts w:ascii="Times New Roman" w:hAnsi="Times New Roman" w:cs="Times New Roman"/>
          <w:b w:val="0"/>
          <w:i/>
          <w:color w:val="1A1A1A"/>
          <w:sz w:val="18"/>
        </w:rPr>
        <w:t>JAMA</w:t>
      </w:r>
      <w:r>
        <w:rPr>
          <w:rFonts w:ascii="Times New Roman" w:hAnsi="Times New Roman" w:cs="Times New Roman"/>
          <w:b w:val="0"/>
          <w:i w:val="0"/>
          <w:color w:val="1A1A1A"/>
          <w:sz w:val="18"/>
        </w:rPr>
        <w:t>, 310(20), 2191–2194.</w:t>
      </w:r>
    </w:p>
    <w:sectPr w:rsidR="00FC693F" w:rsidRPr="0006063C" w:rsidSect="00034616">
      <w:type w:val="continuous"/>
      <w:pgSz w:w="11904" w:h="16838"/>
      <w:pgMar w:top="1440" w:right="1104" w:bottom="1160" w:left="1104" w:header="720" w:footer="600" w:gutter="0"/>
      <w:cols w:space="340" w:num="2" w:equalWidth="1"/>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top w:val="single" w:sz="12" w:space="0" w:color="9C0E33"/>
      </w:pBdr>
    </w:pPr>
    <w:r>
      <w:rPr>
        <w:rFonts w:ascii="Times New Roman" w:hAnsi="Times New Roman" w:cs="Times New Roman"/>
        <w:b w:val="0"/>
        <w:i w:val="0"/>
        <w:color w:val="545454"/>
        <w:sz w:val="16"/>
      </w:rPr>
      <w:t>The CUEA Journal of Humanities &amp; Social Sciences</w:t>
    </w:r>
    <w:r>
      <w:rPr>
        <w:rFonts w:ascii="Times New Roman" w:hAnsi="Times New Roman" w:cs="Times New Roman"/>
        <w:b w:val="0"/>
        <w:i w:val="0"/>
        <w:color w:val="545454"/>
        <w:sz w:val="16"/>
      </w:rPr>
      <w:tab/>
      <w:t xml:space="preserve">Page </w:t>
    </w:r>
    <w:fldSimple w:instr=" PAGE ">
      <w:r>
        <w:rPr>
          <w:rFonts w:ascii="Times New Roman" w:hAnsi="Times New Roman"/>
          <w:color w:val="545454"/>
          <w:sz w:val="16"/>
          <w:szCs w:val="16"/>
        </w:rPr>
        <w:t>1</w:t>
      </w:r>
    </w:fldSimple>
    <w:r>
      <w:rPr>
        <w:rFonts w:ascii="Times New Roman" w:hAnsi="Times New Roman" w:cs="Times New Roman"/>
        <w:b w:val="0"/>
        <w:i w:val="0"/>
        <w:color w:val="545454"/>
        <w:sz w:val="16"/>
      </w:rPr>
      <w:t xml:space="preserve"> | CUEA J. Humanit. Soc. Sci.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top w:val="single" w:sz="12" w:space="0" w:color="9C0E33"/>
      </w:pBdr>
    </w:pPr>
    <w:r>
      <w:rPr>
        <w:rFonts w:ascii="Times New Roman" w:hAnsi="Times New Roman" w:cs="Times New Roman"/>
        <w:b w:val="0"/>
        <w:i w:val="0"/>
        <w:color w:val="545454"/>
        <w:sz w:val="16"/>
      </w:rPr>
      <w:t>The CUEA Journal of Humanities &amp; Social Sciences</w:t>
    </w:r>
    <w:r>
      <w:rPr>
        <w:rFonts w:ascii="Times New Roman" w:hAnsi="Times New Roman" w:cs="Times New Roman"/>
        <w:b w:val="0"/>
        <w:i w:val="0"/>
        <w:color w:val="545454"/>
        <w:sz w:val="16"/>
      </w:rPr>
      <w:tab/>
      <w:t xml:space="preserve">Page </w:t>
    </w:r>
    <w:fldSimple w:instr=" PAGE ">
      <w:r>
        <w:rPr>
          <w:rFonts w:ascii="Times New Roman" w:hAnsi="Times New Roman"/>
          <w:color w:val="545454"/>
          <w:sz w:val="16"/>
          <w:szCs w:val="16"/>
        </w:rPr>
        <w:t>1</w:t>
      </w:r>
    </w:fldSimple>
    <w:r>
      <w:rPr>
        <w:rFonts w:ascii="Times New Roman" w:hAnsi="Times New Roman" w:cs="Times New Roman"/>
        <w:b w:val="0"/>
        <w:i w:val="0"/>
        <w:color w:val="545454"/>
        <w:sz w:val="16"/>
      </w:rPr>
      <w:t xml:space="preserve"> | CUEA J. Humanit. Soc. Sci.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bottom w:val="single" w:sz="6" w:space="0" w:color="F49124"/>
      </w:pBdr>
    </w:pPr>
    <w:r>
      <w:rPr>
        <w:rFonts w:ascii="Times New Roman" w:hAnsi="Times New Roman" w:cs="Times New Roman"/>
        <w:b w:val="0"/>
        <w:i/>
        <w:color w:val="545454"/>
        <w:sz w:val="18"/>
      </w:rPr>
      <w:t>ISSN 3078-3143 (Online)</w:t>
    </w:r>
    <w:r>
      <w:rPr>
        <w:rFonts w:ascii="Times New Roman" w:hAnsi="Times New Roman" w:cs="Times New Roman"/>
        <w:b w:val="0"/>
        <w:i/>
        <w:color w:val="545454"/>
        <w:sz w:val="18"/>
      </w:rPr>
      <w:tab/>
    </w:r>
    <w:r>
      <w:rPr>
        <w:rFonts w:ascii="Times New Roman" w:hAnsi="Times New Roman" w:cs="Times New Roman"/>
        <w:b w:val="0"/>
        <w:i/>
        <w:color w:val="545454"/>
        <w:sz w:val="18"/>
      </w:rPr>
      <w:t>CUEA J. Humanities. Soc. Sci.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Times New Roman" w:hAnsi="Times New Roman" w:eastAsia="Times New Roman" w:cs="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yperlink" Target="mailto:Mwangu2015@gmail.com" TargetMode="External"/><Relationship Id="rId15" Type="http://schemas.openxmlformats.org/officeDocument/2006/relationships/hyperlink" Target="https://doi.org/10.25501/SOAS.00041259" TargetMode="External"/><Relationship Id="rId16" Type="http://schemas.openxmlformats.org/officeDocument/2006/relationships/hyperlink" Target="https://www.freiheit.org/tansania/challenging-social-norms-violate-rights-women-maasai-communities" TargetMode="External"/><Relationship Id="rId17" Type="http://schemas.openxmlformats.org/officeDocument/2006/relationships/hyperlink" Target="https://www.freiheit.org/el/node/45082" TargetMode="External"/><Relationship Id="rId18" Type="http://schemas.openxmlformats.org/officeDocument/2006/relationships/hyperlink" Target="https://www.freiheit.org/human-rights-hub-geneva/safe-society-development-fight-against-fgm-tanzania" TargetMode="External"/><Relationship Id="rId19" Type="http://schemas.openxmlformats.org/officeDocument/2006/relationships/hyperlink" Target="https://www.freiheit.org/pressemitteilung/new-documentary-highlights-fight-end-female-genital-mutilation-siha-distr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